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40" w:after="40"/>
        <w:jc w:val="center"/>
        <w:rPr/>
      </w:pPr>
      <w:r>
        <w:rPr/>
        <w:drawing>
          <wp:anchor behindDoc="0" distT="0" distB="0" distL="0" distR="0" simplePos="0" locked="0" layoutInCell="1" allowOverlap="1" relativeHeight="3">
            <wp:simplePos x="0" y="0"/>
            <wp:positionH relativeFrom="column">
              <wp:posOffset>29845</wp:posOffset>
            </wp:positionH>
            <wp:positionV relativeFrom="paragraph">
              <wp:posOffset>-73025</wp:posOffset>
            </wp:positionV>
            <wp:extent cx="1163955" cy="1078865"/>
            <wp:effectExtent l="0" t="0" r="0" b="0"/>
            <wp:wrapSquare wrapText="largest"/>
            <wp:docPr id="1" name="Image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descr=""/>
                    <pic:cNvPicPr>
                      <a:picLocks noChangeAspect="1" noChangeArrowheads="1"/>
                    </pic:cNvPicPr>
                  </pic:nvPicPr>
                  <pic:blipFill>
                    <a:blip r:embed="rId2"/>
                    <a:stretch>
                      <a:fillRect/>
                    </a:stretch>
                  </pic:blipFill>
                  <pic:spPr bwMode="auto">
                    <a:xfrm>
                      <a:off x="0" y="0"/>
                      <a:ext cx="1163955" cy="1078865"/>
                    </a:xfrm>
                    <a:prstGeom prst="rect">
                      <a:avLst/>
                    </a:prstGeom>
                  </pic:spPr>
                </pic:pic>
              </a:graphicData>
            </a:graphic>
          </wp:anchor>
        </w:drawing>
      </w:r>
    </w:p>
    <w:p>
      <w:pPr>
        <w:pStyle w:val="Normal"/>
        <w:jc w:val="center"/>
        <w:rPr/>
      </w:pPr>
      <w:r>
        <w:rPr/>
      </w:r>
    </w:p>
    <w:p>
      <w:pPr>
        <w:pStyle w:val="Normal"/>
        <w:jc w:val="center"/>
        <w:rPr/>
      </w:pPr>
      <w:r>
        <w:rPr/>
      </w:r>
    </w:p>
    <w:p>
      <w:pPr>
        <w:pStyle w:val="Normal"/>
        <w:jc w:val="center"/>
        <w:rPr/>
      </w:pPr>
      <w:r>
        <w:rPr/>
      </w:r>
    </w:p>
    <w:p>
      <w:pPr>
        <w:pStyle w:val="Normal"/>
        <w:jc w:val="center"/>
        <w:rPr>
          <w:b/>
          <w:b/>
          <w:bCs/>
        </w:rPr>
      </w:pPr>
      <w:r>
        <w:rPr>
          <w:b/>
          <w:bCs/>
        </w:rPr>
      </w:r>
    </w:p>
    <w:p>
      <w:pPr>
        <w:pStyle w:val="Normal"/>
        <w:jc w:val="center"/>
        <w:rPr>
          <w:b/>
          <w:b/>
          <w:bCs/>
        </w:rPr>
      </w:pPr>
      <w:r>
        <w:rPr>
          <w:b/>
          <w:bCs/>
        </w:rPr>
      </w:r>
    </w:p>
    <w:p>
      <w:pPr>
        <w:pStyle w:val="Trame"/>
        <w:shd w:val="clear" w:fill="CCCCCC"/>
        <w:ind w:left="0" w:right="6" w:hanging="0"/>
        <w:rPr/>
      </w:pPr>
      <w:r>
        <w:rPr>
          <w:rFonts w:ascii="Marianne" w:hAnsi="Marianne"/>
          <w:sz w:val="32"/>
          <w:szCs w:val="32"/>
        </w:rPr>
        <w:t xml:space="preserve">MARCHE PUBLIC DE </w:t>
      </w:r>
      <w:r>
        <w:rPr>
          <w:rFonts w:ascii="Marianne" w:hAnsi="Marianne"/>
          <w:b/>
          <w:sz w:val="32"/>
          <w:szCs w:val="32"/>
        </w:rPr>
        <w:t>TRAVAUX</w:t>
      </w:r>
    </w:p>
    <w:p>
      <w:pPr>
        <w:pStyle w:val="Trame"/>
        <w:shd w:val="clear" w:fill="CCCCCC"/>
        <w:ind w:left="0" w:right="6" w:hanging="0"/>
        <w:rPr>
          <w:rFonts w:ascii="Marianne" w:hAnsi="Marianne"/>
          <w:b/>
          <w:b/>
          <w:bCs/>
          <w:sz w:val="4"/>
          <w:szCs w:val="4"/>
        </w:rPr>
      </w:pPr>
      <w:r>
        <w:rPr>
          <w:rFonts w:ascii="Marianne" w:hAnsi="Marianne"/>
          <w:b/>
          <w:bCs/>
          <w:sz w:val="4"/>
          <w:szCs w:val="4"/>
        </w:rPr>
      </w:r>
    </w:p>
    <w:p>
      <w:pPr>
        <w:pStyle w:val="Normal"/>
        <w:jc w:val="center"/>
        <w:rPr>
          <w:b/>
          <w:b/>
          <w:bCs/>
        </w:rPr>
      </w:pPr>
      <w:r>
        <w:rPr>
          <w:b/>
          <w:bCs/>
        </w:rPr>
      </w:r>
    </w:p>
    <w:p>
      <w:pPr>
        <w:pStyle w:val="Cadrerelief"/>
        <w:pBdr>
          <w:top w:val="double" w:sz="2" w:space="14" w:color="000000" w:shadow="1"/>
          <w:left w:val="double" w:sz="2" w:space="14" w:color="000000" w:shadow="1"/>
          <w:bottom w:val="double" w:sz="2" w:space="14" w:color="000000" w:shadow="1"/>
          <w:right w:val="double" w:sz="2" w:space="14" w:color="000000" w:shadow="1"/>
        </w:pBdr>
        <w:shd w:val="clear" w:fill="F2F2F2"/>
        <w:ind w:left="0" w:right="0" w:hanging="0"/>
        <w:jc w:val="center"/>
        <w:rPr>
          <w:rFonts w:ascii="Marianne" w:hAnsi="Marianne"/>
          <w:b/>
          <w:b/>
          <w:sz w:val="32"/>
        </w:rPr>
      </w:pPr>
      <w:r>
        <w:rPr>
          <w:rFonts w:ascii="Marianne" w:hAnsi="Marianne"/>
          <w:b/>
          <w:sz w:val="32"/>
        </w:rPr>
        <w:t>BORDEREAU DES PRIX UNITAIRES ET FORFAITAIRES</w:t>
      </w:r>
    </w:p>
    <w:p>
      <w:pPr>
        <w:pStyle w:val="Normal"/>
        <w:rPr>
          <w:rFonts w:ascii="Marianne" w:hAnsi="Marianne"/>
          <w:sz w:val="4"/>
          <w:szCs w:val="4"/>
        </w:rPr>
      </w:pPr>
      <w:r>
        <w:rPr>
          <w:rFonts w:ascii="Marianne" w:hAnsi="Marianne"/>
          <w:sz w:val="4"/>
          <w:szCs w:val="4"/>
        </w:rPr>
      </w:r>
    </w:p>
    <w:p>
      <w:pPr>
        <w:pStyle w:val="Normal"/>
        <w:rPr>
          <w:rFonts w:ascii="Marianne" w:hAnsi="Marianne"/>
          <w:sz w:val="4"/>
          <w:szCs w:val="4"/>
        </w:rPr>
      </w:pPr>
      <w:r>
        <w:rPr>
          <w:rFonts w:ascii="Marianne" w:hAnsi="Marianne"/>
          <w:sz w:val="4"/>
          <w:szCs w:val="4"/>
        </w:rPr>
      </w:r>
    </w:p>
    <w:p>
      <w:pPr>
        <w:pStyle w:val="Normal"/>
        <w:jc w:val="center"/>
        <w:rPr>
          <w:b/>
          <w:b/>
          <w:bCs/>
        </w:rPr>
      </w:pPr>
      <w:r>
        <w:rPr>
          <w:b/>
          <w:bCs/>
        </w:rPr>
      </w:r>
    </w:p>
    <w:p>
      <w:pPr>
        <w:pStyle w:val="Normal"/>
        <w:jc w:val="center"/>
        <w:rPr>
          <w:b/>
          <w:b/>
          <w:bCs/>
        </w:rPr>
      </w:pPr>
      <w:r>
        <w:rPr>
          <w:b/>
          <w:bCs/>
        </w:rPr>
      </w:r>
    </w:p>
    <w:p>
      <w:pPr>
        <w:pStyle w:val="Normal"/>
        <w:rPr>
          <w:rFonts w:ascii="Marianne" w:hAnsi="Marianne"/>
          <w:sz w:val="4"/>
          <w:szCs w:val="4"/>
        </w:rPr>
      </w:pPr>
      <w:r>
        <w:rPr>
          <w:rFonts w:ascii="Marianne" w:hAnsi="Marianne"/>
          <w:sz w:val="4"/>
          <w:szCs w:val="4"/>
        </w:rPr>
      </w:r>
    </w:p>
    <w:tbl>
      <w:tblPr>
        <w:tblW w:w="5000" w:type="pct"/>
        <w:jc w:val="left"/>
        <w:tblInd w:w="-11" w:type="dxa"/>
        <w:tblCellMar>
          <w:top w:w="0" w:type="dxa"/>
          <w:left w:w="70" w:type="dxa"/>
          <w:bottom w:w="0" w:type="dxa"/>
          <w:right w:w="70" w:type="dxa"/>
        </w:tblCellMar>
      </w:tblPr>
      <w:tblGrid>
        <w:gridCol w:w="10204"/>
      </w:tblGrid>
      <w:tr>
        <w:trPr/>
        <w:tc>
          <w:tcPr>
            <w:tcW w:w="10204" w:type="dxa"/>
            <w:tcBorders>
              <w:top w:val="double" w:sz="2" w:space="0" w:color="000000"/>
              <w:left w:val="double" w:sz="2" w:space="0" w:color="000000"/>
              <w:right w:val="double" w:sz="2" w:space="0" w:color="000000"/>
            </w:tcBorders>
            <w:shd w:fill="CCCCCC" w:val="clear"/>
          </w:tcPr>
          <w:p>
            <w:pPr>
              <w:pStyle w:val="Normal"/>
              <w:snapToGrid w:val="false"/>
              <w:spacing w:before="40" w:after="40"/>
              <w:jc w:val="center"/>
              <w:rPr>
                <w:rFonts w:ascii="Marianne" w:hAnsi="Marianne"/>
                <w:b/>
                <w:b/>
                <w:bCs/>
                <w:i/>
                <w:i/>
                <w:iCs/>
                <w:color w:val="000000"/>
                <w:sz w:val="28"/>
                <w:szCs w:val="28"/>
              </w:rPr>
            </w:pPr>
            <w:r>
              <w:rPr>
                <w:rFonts w:ascii="Marianne" w:hAnsi="Marianne"/>
                <w:b/>
                <w:bCs/>
                <w:i/>
                <w:iCs/>
                <w:color w:val="000000"/>
                <w:sz w:val="28"/>
                <w:szCs w:val="28"/>
                <w:shd w:fill="auto" w:val="clear"/>
              </w:rPr>
              <w:t>L’acheteur exerçant la maîtrise d'ouvrage</w:t>
            </w:r>
          </w:p>
          <w:p>
            <w:pPr>
              <w:pStyle w:val="RedTitre"/>
              <w:widowControl/>
              <w:pBdr/>
              <w:rPr/>
              <w:framePr w:w="23" w:h="253" w:x="5091" w:y="1" w:wrap="auto" w:vAnchor="text" w:hAnchor="text" w:hRule="exact"/>
            </w:pPr>
            <w:r>
              <w:rPr/>
            </w:r>
          </w:p>
        </w:tc>
      </w:tr>
      <w:tr>
        <w:trPr/>
        <w:tc>
          <w:tcPr>
            <w:tcW w:w="10204" w:type="dxa"/>
            <w:tcBorders>
              <w:top w:val="single" w:sz="2" w:space="0" w:color="000000"/>
              <w:left w:val="double" w:sz="2" w:space="0" w:color="000000"/>
              <w:right w:val="double" w:sz="2" w:space="0" w:color="000000"/>
            </w:tcBorders>
          </w:tcPr>
          <w:p>
            <w:pPr>
              <w:pStyle w:val="Reponse"/>
              <w:spacing w:before="0" w:after="0"/>
              <w:jc w:val="left"/>
              <w:rPr>
                <w:rFonts w:ascii="Marianne" w:hAnsi="Marianne"/>
                <w:sz w:val="6"/>
                <w:szCs w:val="6"/>
              </w:rPr>
            </w:pPr>
            <w:r>
              <w:rPr>
                <w:rFonts w:ascii="Marianne" w:hAnsi="Marianne"/>
                <w:sz w:val="6"/>
                <w:szCs w:val="6"/>
              </w:rPr>
            </w:r>
          </w:p>
        </w:tc>
      </w:tr>
      <w:tr>
        <w:trPr>
          <w:trHeight w:val="419" w:hRule="atLeast"/>
        </w:trPr>
        <w:tc>
          <w:tcPr>
            <w:tcW w:w="10204" w:type="dxa"/>
            <w:tcBorders>
              <w:left w:val="double" w:sz="2" w:space="0" w:color="000000"/>
              <w:right w:val="double" w:sz="2" w:space="0" w:color="000000"/>
            </w:tcBorders>
          </w:tcPr>
          <w:p>
            <w:pPr>
              <w:pStyle w:val="Corpsdetexte3"/>
              <w:widowControl/>
              <w:suppressAutoHyphens w:val="true"/>
              <w:bidi w:val="0"/>
              <w:spacing w:before="40" w:after="40"/>
              <w:ind w:left="0" w:right="0" w:hanging="0"/>
              <w:jc w:val="center"/>
              <w:rPr>
                <w:rFonts w:ascii="Marianne" w:hAnsi="Marianne"/>
                <w:b/>
                <w:b/>
                <w:bCs/>
                <w:sz w:val="6"/>
                <w:szCs w:val="6"/>
              </w:rPr>
            </w:pPr>
            <w:r>
              <w:rPr>
                <w:rFonts w:ascii="Marianne" w:hAnsi="Marianne"/>
                <w:b/>
                <w:bCs/>
                <w:sz w:val="6"/>
                <w:szCs w:val="6"/>
              </w:rPr>
            </w:r>
          </w:p>
          <w:p>
            <w:pPr>
              <w:pStyle w:val="Normal"/>
              <w:widowControl/>
              <w:tabs>
                <w:tab w:val="clear" w:pos="6804"/>
                <w:tab w:val="left" w:pos="720" w:leader="none"/>
                <w:tab w:val="left" w:pos="9639" w:leader="dot"/>
              </w:tabs>
              <w:suppressAutoHyphens w:val="true"/>
              <w:bidi w:val="0"/>
              <w:snapToGrid w:val="false"/>
              <w:spacing w:lineRule="auto" w:line="240" w:before="0" w:after="0"/>
              <w:ind w:left="0" w:right="0" w:hanging="0"/>
              <w:jc w:val="center"/>
              <w:rPr>
                <w:rFonts w:ascii="Marianne" w:hAnsi="Marianne" w:eastAsia="Calibri" w:cs="Arial"/>
                <w:b w:val="false"/>
                <w:b w:val="false"/>
                <w:bCs w:val="false"/>
                <w:color w:val="auto"/>
                <w:sz w:val="20"/>
                <w:szCs w:val="20"/>
                <w:lang w:val="fr-FR" w:eastAsia="zh-CN" w:bidi="hi-IN"/>
              </w:rPr>
            </w:pPr>
            <w:bookmarkStart w:id="0" w:name="R0_p7_a1"/>
            <w:r>
              <w:rPr>
                <w:rFonts w:eastAsia="Calibri" w:cs="Arial" w:ascii="Marianne" w:hAnsi="Marianne"/>
                <w:b w:val="false"/>
                <w:bCs w:val="false"/>
                <w:color w:val="000000"/>
                <w:sz w:val="20"/>
                <w:szCs w:val="20"/>
                <w:shd w:fill="auto" w:val="clear"/>
                <w:lang w:val="fr-FR" w:eastAsia="zh-CN" w:bidi="hi-IN"/>
              </w:rPr>
              <w:t>Direction de l’environnement, de l’aménagement et du logement</w:t>
            </w:r>
            <w:bookmarkEnd w:id="0"/>
            <w:r>
              <w:rPr>
                <w:rFonts w:eastAsia="Calibri" w:cs="Arial" w:ascii="Marianne" w:hAnsi="Marianne"/>
                <w:b w:val="false"/>
                <w:bCs w:val="false"/>
                <w:color w:val="000000"/>
                <w:sz w:val="20"/>
                <w:szCs w:val="20"/>
                <w:shd w:fill="auto" w:val="clear"/>
                <w:lang w:val="fr-FR" w:eastAsia="zh-CN" w:bidi="hi-IN"/>
              </w:rPr>
              <w:t xml:space="preserve"> de La Réunion</w:t>
            </w:r>
          </w:p>
        </w:tc>
      </w:tr>
      <w:tr>
        <w:trPr>
          <w:trHeight w:val="123" w:hRule="atLeast"/>
        </w:trPr>
        <w:tc>
          <w:tcPr>
            <w:tcW w:w="10204" w:type="dxa"/>
            <w:tcBorders>
              <w:left w:val="double" w:sz="2" w:space="0" w:color="000000"/>
              <w:bottom w:val="double" w:sz="2" w:space="0" w:color="000000"/>
              <w:right w:val="double" w:sz="2" w:space="0" w:color="000000"/>
            </w:tcBorders>
          </w:tcPr>
          <w:p>
            <w:pPr>
              <w:pStyle w:val="Reponse"/>
              <w:spacing w:before="0" w:after="0"/>
              <w:jc w:val="left"/>
              <w:rPr>
                <w:rFonts w:ascii="Marianne" w:hAnsi="Marianne"/>
                <w:sz w:val="6"/>
                <w:szCs w:val="6"/>
              </w:rPr>
            </w:pPr>
            <w:r>
              <w:rPr>
                <w:rFonts w:ascii="Marianne" w:hAnsi="Marianne"/>
                <w:sz w:val="6"/>
                <w:szCs w:val="6"/>
              </w:rPr>
            </w:r>
          </w:p>
        </w:tc>
      </w:tr>
    </w:tbl>
    <w:p>
      <w:pPr>
        <w:pStyle w:val="Normal"/>
        <w:rPr>
          <w:rFonts w:ascii="Marianne" w:hAnsi="Marianne"/>
          <w:sz w:val="6"/>
          <w:szCs w:val="6"/>
        </w:rPr>
      </w:pPr>
      <w:r>
        <w:rPr>
          <w:rFonts w:ascii="Marianne" w:hAnsi="Marianne"/>
          <w:sz w:val="6"/>
          <w:szCs w:val="6"/>
        </w:rPr>
      </w:r>
    </w:p>
    <w:p>
      <w:pPr>
        <w:pStyle w:val="Normal"/>
        <w:rPr>
          <w:rFonts w:ascii="Marianne" w:hAnsi="Marianne"/>
          <w:sz w:val="6"/>
          <w:szCs w:val="6"/>
        </w:rPr>
      </w:pPr>
      <w:r>
        <w:rPr>
          <w:rFonts w:ascii="Marianne" w:hAnsi="Marianne"/>
          <w:sz w:val="6"/>
          <w:szCs w:val="6"/>
        </w:rPr>
      </w:r>
    </w:p>
    <w:p>
      <w:pPr>
        <w:pStyle w:val="Normal"/>
        <w:rPr>
          <w:rFonts w:ascii="Marianne" w:hAnsi="Marianne"/>
          <w:sz w:val="6"/>
          <w:szCs w:val="6"/>
        </w:rPr>
      </w:pPr>
      <w:r>
        <w:rPr>
          <w:rFonts w:ascii="Marianne" w:hAnsi="Marianne"/>
          <w:sz w:val="6"/>
          <w:szCs w:val="6"/>
        </w:rPr>
      </w:r>
    </w:p>
    <w:tbl>
      <w:tblPr>
        <w:tblW w:w="5000" w:type="pct"/>
        <w:jc w:val="left"/>
        <w:tblInd w:w="-11" w:type="dxa"/>
        <w:tblCellMar>
          <w:top w:w="0" w:type="dxa"/>
          <w:left w:w="70" w:type="dxa"/>
          <w:bottom w:w="0" w:type="dxa"/>
          <w:right w:w="70" w:type="dxa"/>
        </w:tblCellMar>
      </w:tblPr>
      <w:tblGrid>
        <w:gridCol w:w="10204"/>
      </w:tblGrid>
      <w:tr>
        <w:trPr/>
        <w:tc>
          <w:tcPr>
            <w:tcW w:w="10204" w:type="dxa"/>
            <w:tcBorders>
              <w:top w:val="double" w:sz="2" w:space="0" w:color="000000"/>
              <w:left w:val="double" w:sz="2" w:space="0" w:color="000000"/>
              <w:bottom w:val="single" w:sz="2" w:space="0" w:color="000000"/>
              <w:right w:val="double" w:sz="2" w:space="0" w:color="000000"/>
            </w:tcBorders>
            <w:shd w:fill="CCCCCC" w:val="clear"/>
          </w:tcPr>
          <w:p>
            <w:pPr>
              <w:pStyle w:val="Normal"/>
              <w:snapToGrid w:val="false"/>
              <w:spacing w:before="40" w:after="40"/>
              <w:jc w:val="center"/>
              <w:rPr>
                <w:rFonts w:ascii="Marianne" w:hAnsi="Marianne"/>
                <w:b/>
                <w:b/>
                <w:i/>
                <w:i/>
                <w:color w:val="000000"/>
                <w:sz w:val="28"/>
                <w:u w:val="none"/>
              </w:rPr>
            </w:pPr>
            <w:r>
              <w:rPr>
                <w:rFonts w:ascii="Marianne" w:hAnsi="Marianne"/>
                <w:b/>
                <w:i/>
                <w:color w:val="000000"/>
                <w:sz w:val="28"/>
                <w:u w:val="none"/>
                <w:shd w:fill="auto" w:val="clear"/>
              </w:rPr>
              <w:t>Représentant du Maître d’ouvrage (RMO) et du pouvoir adjudicateur</w:t>
            </w:r>
          </w:p>
        </w:tc>
      </w:tr>
      <w:tr>
        <w:trPr/>
        <w:tc>
          <w:tcPr>
            <w:tcW w:w="10204" w:type="dxa"/>
            <w:tcBorders>
              <w:left w:val="double" w:sz="2" w:space="0" w:color="000000"/>
              <w:right w:val="double" w:sz="2" w:space="0" w:color="000000"/>
            </w:tcBorders>
          </w:tcPr>
          <w:p>
            <w:pPr>
              <w:pStyle w:val="Normal"/>
              <w:snapToGrid w:val="false"/>
              <w:spacing w:before="40" w:after="40"/>
              <w:rPr>
                <w:rFonts w:ascii="Marianne" w:hAnsi="Marianne"/>
                <w:b/>
                <w:b/>
                <w:i/>
                <w:i/>
                <w:sz w:val="6"/>
              </w:rPr>
            </w:pPr>
            <w:r>
              <w:rPr>
                <w:rFonts w:ascii="Marianne" w:hAnsi="Marianne"/>
                <w:b/>
                <w:i/>
                <w:sz w:val="6"/>
              </w:rPr>
            </w:r>
          </w:p>
        </w:tc>
      </w:tr>
      <w:tr>
        <w:trPr/>
        <w:tc>
          <w:tcPr>
            <w:tcW w:w="10204" w:type="dxa"/>
            <w:tcBorders>
              <w:left w:val="double" w:sz="2" w:space="0" w:color="000000"/>
              <w:right w:val="double" w:sz="2" w:space="0" w:color="000000"/>
            </w:tcBorders>
          </w:tcPr>
          <w:p>
            <w:pPr>
              <w:pStyle w:val="Normal"/>
              <w:spacing w:before="40" w:after="40"/>
              <w:ind w:left="0" w:right="510" w:hanging="0"/>
              <w:jc w:val="center"/>
              <w:rPr>
                <w:rFonts w:ascii="Marianne" w:hAnsi="Marianne"/>
                <w:sz w:val="12"/>
                <w:szCs w:val="12"/>
              </w:rPr>
            </w:pPr>
            <w:r>
              <w:rPr>
                <w:rFonts w:ascii="Marianne" w:hAnsi="Marianne"/>
                <w:sz w:val="12"/>
                <w:szCs w:val="12"/>
              </w:rPr>
            </w:r>
          </w:p>
          <w:p>
            <w:pPr>
              <w:pStyle w:val="Normal"/>
              <w:ind w:left="0" w:right="510" w:hanging="0"/>
              <w:jc w:val="center"/>
              <w:rPr>
                <w:rFonts w:ascii="Marianne" w:hAnsi="Marianne"/>
                <w:sz w:val="20"/>
                <w:szCs w:val="20"/>
              </w:rPr>
            </w:pPr>
            <w:bookmarkStart w:id="1" w:name="R0_p7_a"/>
            <w:r>
              <w:rPr>
                <w:rFonts w:ascii="Marianne" w:hAnsi="Marianne"/>
                <w:sz w:val="20"/>
                <w:szCs w:val="20"/>
              </w:rPr>
              <w:t xml:space="preserve">Monsieur le </w:t>
            </w:r>
            <w:bookmarkStart w:id="2" w:name="R0_p7_a2"/>
            <w:bookmarkEnd w:id="1"/>
            <w:r>
              <w:rPr>
                <w:rFonts w:eastAsia="Calibri" w:cs="Arial" w:ascii="Marianne" w:hAnsi="Marianne"/>
                <w:color w:val="000000"/>
                <w:sz w:val="20"/>
                <w:szCs w:val="20"/>
                <w:shd w:fill="auto" w:val="clear"/>
                <w:lang w:val="fr-FR" w:eastAsia="zh-CN" w:bidi="hi-IN"/>
              </w:rPr>
              <w:t>Directeur de l’environnement, de l’aménagement et du logement</w:t>
            </w:r>
            <w:bookmarkEnd w:id="2"/>
            <w:r>
              <w:rPr>
                <w:rFonts w:eastAsia="Calibri" w:cs="Arial" w:ascii="Marianne" w:hAnsi="Marianne"/>
                <w:color w:val="000000"/>
                <w:sz w:val="20"/>
                <w:szCs w:val="20"/>
                <w:shd w:fill="auto" w:val="clear"/>
                <w:lang w:val="fr-FR" w:eastAsia="zh-CN" w:bidi="hi-IN"/>
              </w:rPr>
              <w:t xml:space="preserve"> de La Réunion</w:t>
            </w:r>
          </w:p>
          <w:p>
            <w:pPr>
              <w:pStyle w:val="Normal"/>
              <w:spacing w:before="40" w:after="40"/>
              <w:ind w:left="0" w:right="510" w:hanging="0"/>
              <w:jc w:val="center"/>
              <w:rPr>
                <w:rFonts w:ascii="Marianne" w:hAnsi="Marianne"/>
                <w:sz w:val="12"/>
                <w:szCs w:val="12"/>
              </w:rPr>
            </w:pPr>
            <w:r>
              <w:rPr>
                <w:rFonts w:ascii="Marianne" w:hAnsi="Marianne"/>
                <w:sz w:val="12"/>
                <w:szCs w:val="12"/>
              </w:rPr>
            </w:r>
          </w:p>
        </w:tc>
      </w:tr>
      <w:tr>
        <w:trPr/>
        <w:tc>
          <w:tcPr>
            <w:tcW w:w="10204" w:type="dxa"/>
            <w:tcBorders>
              <w:left w:val="double" w:sz="2" w:space="0" w:color="000000"/>
              <w:bottom w:val="double" w:sz="2" w:space="0" w:color="000000"/>
              <w:right w:val="double" w:sz="2" w:space="0" w:color="000000"/>
            </w:tcBorders>
          </w:tcPr>
          <w:p>
            <w:pPr>
              <w:pStyle w:val="Normal"/>
              <w:snapToGrid w:val="false"/>
              <w:spacing w:before="40" w:after="40"/>
              <w:rPr>
                <w:rFonts w:ascii="Marianne" w:hAnsi="Marianne"/>
                <w:sz w:val="6"/>
              </w:rPr>
            </w:pPr>
            <w:r>
              <w:rPr>
                <w:rFonts w:ascii="Marianne" w:hAnsi="Marianne"/>
                <w:sz w:val="6"/>
              </w:rPr>
            </w:r>
          </w:p>
        </w:tc>
      </w:tr>
    </w:tbl>
    <w:p>
      <w:pPr>
        <w:pStyle w:val="Normal"/>
        <w:rPr>
          <w:rFonts w:ascii="Marianne" w:hAnsi="Marianne"/>
          <w:sz w:val="6"/>
          <w:szCs w:val="6"/>
        </w:rPr>
      </w:pPr>
      <w:r>
        <w:rPr>
          <w:rFonts w:ascii="Marianne" w:hAnsi="Marianne"/>
          <w:sz w:val="6"/>
          <w:szCs w:val="6"/>
        </w:rPr>
      </w:r>
    </w:p>
    <w:tbl>
      <w:tblPr>
        <w:tblW w:w="5000" w:type="pct"/>
        <w:jc w:val="left"/>
        <w:tblInd w:w="-11" w:type="dxa"/>
        <w:tblCellMar>
          <w:top w:w="0" w:type="dxa"/>
          <w:left w:w="70" w:type="dxa"/>
          <w:bottom w:w="0" w:type="dxa"/>
          <w:right w:w="70" w:type="dxa"/>
        </w:tblCellMar>
      </w:tblPr>
      <w:tblGrid>
        <w:gridCol w:w="10204"/>
      </w:tblGrid>
      <w:tr>
        <w:trPr/>
        <w:tc>
          <w:tcPr>
            <w:tcW w:w="10204" w:type="dxa"/>
            <w:tcBorders>
              <w:top w:val="double" w:sz="2" w:space="0" w:color="000000"/>
              <w:left w:val="double" w:sz="2" w:space="0" w:color="000000"/>
              <w:bottom w:val="single" w:sz="2" w:space="0" w:color="000000"/>
              <w:right w:val="double" w:sz="2" w:space="0" w:color="000000"/>
            </w:tcBorders>
            <w:shd w:fill="CCCCCC" w:val="clear"/>
          </w:tcPr>
          <w:p>
            <w:pPr>
              <w:pStyle w:val="Normal"/>
              <w:spacing w:before="40" w:after="40"/>
              <w:jc w:val="center"/>
              <w:rPr>
                <w:rFonts w:ascii="Marianne" w:hAnsi="Marianne"/>
                <w:b/>
                <w:b/>
                <w:bCs/>
                <w:i/>
                <w:i/>
                <w:iCs/>
                <w:sz w:val="28"/>
                <w:szCs w:val="28"/>
              </w:rPr>
            </w:pPr>
            <w:r>
              <w:rPr>
                <w:rFonts w:ascii="Marianne" w:hAnsi="Marianne"/>
                <w:b/>
                <w:bCs/>
                <w:i/>
                <w:iCs/>
                <w:sz w:val="28"/>
                <w:szCs w:val="28"/>
              </w:rPr>
              <w:t>Objet de la consultation</w:t>
            </w:r>
          </w:p>
        </w:tc>
      </w:tr>
      <w:tr>
        <w:trPr/>
        <w:tc>
          <w:tcPr>
            <w:tcW w:w="10204" w:type="dxa"/>
            <w:tcBorders>
              <w:left w:val="double" w:sz="2" w:space="0" w:color="000000"/>
              <w:right w:val="double" w:sz="2" w:space="0" w:color="000000"/>
            </w:tcBorders>
          </w:tcPr>
          <w:p>
            <w:pPr>
              <w:pStyle w:val="Normal"/>
              <w:spacing w:before="40" w:after="40"/>
              <w:ind w:left="567" w:right="641" w:hanging="0"/>
              <w:jc w:val="both"/>
              <w:rPr>
                <w:rFonts w:ascii="Marianne" w:hAnsi="Marianne"/>
                <w:sz w:val="6"/>
                <w:szCs w:val="6"/>
              </w:rPr>
            </w:pPr>
            <w:r>
              <w:rPr>
                <w:rFonts w:ascii="Marianne" w:hAnsi="Marianne"/>
                <w:sz w:val="6"/>
                <w:szCs w:val="6"/>
              </w:rPr>
            </w:r>
          </w:p>
        </w:tc>
      </w:tr>
      <w:tr>
        <w:trPr/>
        <w:tc>
          <w:tcPr>
            <w:tcW w:w="10204" w:type="dxa"/>
            <w:tcBorders>
              <w:left w:val="double" w:sz="2" w:space="0" w:color="000000"/>
              <w:right w:val="double" w:sz="2" w:space="0" w:color="000000"/>
            </w:tcBorders>
          </w:tcPr>
          <w:p>
            <w:pPr>
              <w:pStyle w:val="Normal"/>
              <w:snapToGrid w:val="false"/>
              <w:spacing w:before="40" w:after="40"/>
              <w:ind w:left="567" w:right="497" w:hanging="0"/>
              <w:jc w:val="center"/>
              <w:rPr>
                <w:rFonts w:ascii="Marianne" w:hAnsi="Marianne" w:eastAsia="Calibri" w:cs="Arial"/>
                <w:b/>
                <w:b/>
                <w:bCs/>
                <w:color w:val="auto"/>
                <w:sz w:val="22"/>
                <w:szCs w:val="20"/>
                <w:lang w:val="fr-FR" w:eastAsia="zh-CN" w:bidi="hi-IN"/>
              </w:rPr>
            </w:pPr>
            <w:r>
              <w:rPr>
                <w:rFonts w:eastAsia="Calibri" w:cs="Arial" w:ascii="Marianne" w:hAnsi="Marianne"/>
                <w:b/>
                <w:bCs/>
                <w:color w:val="auto"/>
                <w:sz w:val="22"/>
                <w:szCs w:val="20"/>
                <w:lang w:val="fr-FR" w:eastAsia="zh-CN" w:bidi="hi-IN"/>
              </w:rPr>
              <w:t>Travaux d’arasement du radier de Beauvallon et de suppression de canaux bichiques – Rivière des Roches</w:t>
            </w:r>
          </w:p>
        </w:tc>
      </w:tr>
      <w:tr>
        <w:trPr/>
        <w:tc>
          <w:tcPr>
            <w:tcW w:w="10204" w:type="dxa"/>
            <w:tcBorders>
              <w:left w:val="double" w:sz="2" w:space="0" w:color="000000"/>
              <w:bottom w:val="double" w:sz="2" w:space="0" w:color="000000"/>
              <w:right w:val="double" w:sz="2" w:space="0" w:color="000000"/>
            </w:tcBorders>
          </w:tcPr>
          <w:p>
            <w:pPr>
              <w:pStyle w:val="Normal"/>
              <w:spacing w:before="40" w:after="40"/>
              <w:ind w:left="567" w:right="641" w:hanging="0"/>
              <w:jc w:val="both"/>
              <w:rPr>
                <w:rFonts w:ascii="Marianne" w:hAnsi="Marianne"/>
                <w:sz w:val="6"/>
                <w:szCs w:val="6"/>
              </w:rPr>
            </w:pPr>
            <w:r>
              <w:rPr>
                <w:rFonts w:ascii="Marianne" w:hAnsi="Marianne"/>
                <w:sz w:val="6"/>
                <w:szCs w:val="6"/>
              </w:rPr>
            </w:r>
          </w:p>
        </w:tc>
      </w:tr>
    </w:tbl>
    <w:p>
      <w:pPr>
        <w:sectPr>
          <w:headerReference w:type="default" r:id="rId3"/>
          <w:footerReference w:type="default" r:id="rId4"/>
          <w:type w:val="nextPage"/>
          <w:pgSz w:w="11906" w:h="16838"/>
          <w:pgMar w:left="851" w:right="851" w:header="709" w:top="964" w:footer="567" w:bottom="737" w:gutter="0"/>
          <w:pgNumType w:start="1" w:fmt="decimal"/>
          <w:formProt w:val="false"/>
          <w:textDirection w:val="lrTb"/>
          <w:docGrid w:type="default" w:linePitch="100" w:charSpace="16384"/>
        </w:sectPr>
      </w:pPr>
    </w:p>
    <w:p>
      <w:pPr>
        <w:pStyle w:val="Normal"/>
        <w:rPr>
          <w:rFonts w:ascii="Marianne" w:hAnsi="Marianne"/>
          <w:sz w:val="6"/>
          <w:szCs w:val="6"/>
        </w:rPr>
      </w:pPr>
      <w:r>
        <w:rPr>
          <w:rFonts w:ascii="Marianne" w:hAnsi="Marianne"/>
          <w:sz w:val="6"/>
          <w:szCs w:val="6"/>
        </w:rPr>
      </w:r>
    </w:p>
    <w:tbl>
      <w:tblPr>
        <w:tblW w:w="15452" w:type="dxa"/>
        <w:jc w:val="left"/>
        <w:tblInd w:w="-214" w:type="dxa"/>
        <w:tblCellMar>
          <w:top w:w="0" w:type="dxa"/>
          <w:left w:w="70" w:type="dxa"/>
          <w:bottom w:w="0" w:type="dxa"/>
          <w:right w:w="70" w:type="dxa"/>
        </w:tblCellMar>
        <w:tblLook w:firstRow="0" w:noVBand="0" w:lastRow="0" w:firstColumn="0" w:lastColumn="0" w:noHBand="0" w:val="0000"/>
      </w:tblPr>
      <w:tblGrid>
        <w:gridCol w:w="360"/>
        <w:gridCol w:w="15091"/>
      </w:tblGrid>
      <w:tr>
        <w:trPr/>
        <w:tc>
          <w:tcPr>
            <w:tcW w:w="15451" w:type="dxa"/>
            <w:gridSpan w:val="2"/>
            <w:tcBorders>
              <w:top w:val="double" w:sz="2" w:space="0" w:color="000000"/>
              <w:left w:val="double" w:sz="2" w:space="0" w:color="000000"/>
              <w:bottom w:val="single" w:sz="4" w:space="0" w:color="000000"/>
              <w:right w:val="double" w:sz="2" w:space="0" w:color="000000"/>
            </w:tcBorders>
            <w:shd w:fill="CCCCCC" w:val="clear"/>
          </w:tcPr>
          <w:p>
            <w:pPr>
              <w:pStyle w:val="Normal"/>
              <w:snapToGrid w:val="false"/>
              <w:spacing w:before="40" w:after="40"/>
              <w:jc w:val="center"/>
              <w:rPr>
                <w:rFonts w:ascii="Marianne" w:hAnsi="Marianne"/>
                <w:b/>
                <w:b/>
                <w:i/>
                <w:i/>
                <w:sz w:val="28"/>
              </w:rPr>
            </w:pPr>
            <w:r>
              <w:rPr>
                <w:rFonts w:ascii="Marianne" w:hAnsi="Marianne"/>
                <w:b/>
                <w:i/>
                <w:sz w:val="28"/>
              </w:rPr>
              <w:t>Remise des offres</w:t>
            </w:r>
          </w:p>
        </w:tc>
      </w:tr>
      <w:tr>
        <w:trPr/>
        <w:tc>
          <w:tcPr>
            <w:tcW w:w="15451" w:type="dxa"/>
            <w:gridSpan w:val="2"/>
            <w:tcBorders>
              <w:left w:val="double" w:sz="2" w:space="0" w:color="000000"/>
              <w:right w:val="double" w:sz="2" w:space="0" w:color="000000"/>
            </w:tcBorders>
          </w:tcPr>
          <w:p>
            <w:pPr>
              <w:pStyle w:val="Normal"/>
              <w:snapToGrid w:val="false"/>
              <w:spacing w:before="40" w:after="40"/>
              <w:ind w:left="567" w:right="499" w:hanging="0"/>
              <w:rPr>
                <w:rFonts w:ascii="Marianne" w:hAnsi="Marianne"/>
                <w:b/>
                <w:b/>
                <w:i/>
                <w:i/>
                <w:sz w:val="6"/>
              </w:rPr>
            </w:pPr>
            <w:r>
              <w:rPr>
                <w:rFonts w:ascii="Marianne" w:hAnsi="Marianne"/>
                <w:b/>
                <w:i/>
                <w:sz w:val="6"/>
              </w:rPr>
            </w:r>
          </w:p>
        </w:tc>
      </w:tr>
      <w:tr>
        <w:trPr/>
        <w:tc>
          <w:tcPr>
            <w:tcW w:w="15451" w:type="dxa"/>
            <w:gridSpan w:val="2"/>
            <w:tcBorders>
              <w:left w:val="double" w:sz="2" w:space="0" w:color="000000"/>
              <w:right w:val="double" w:sz="2" w:space="0" w:color="000000"/>
            </w:tcBorders>
          </w:tcPr>
          <w:p>
            <w:pPr>
              <w:pStyle w:val="Normal"/>
              <w:snapToGrid w:val="false"/>
              <w:spacing w:before="40" w:after="40"/>
              <w:ind w:left="567" w:right="499" w:hanging="0"/>
              <w:jc w:val="center"/>
              <w:rPr>
                <w:sz w:val="22"/>
                <w:szCs w:val="22"/>
              </w:rPr>
            </w:pPr>
            <w:r>
              <w:rPr>
                <w:rFonts w:ascii="Marianne" w:hAnsi="Marianne"/>
                <w:sz w:val="22"/>
                <w:szCs w:val="22"/>
              </w:rPr>
              <w:t>Date et heure limites de réception</w:t>
            </w:r>
            <w:r>
              <w:rPr>
                <w:rFonts w:ascii="Marianne" w:hAnsi="Marianne"/>
                <w:sz w:val="22"/>
                <w:szCs w:val="22"/>
                <w:shd w:fill="auto" w:val="clear"/>
              </w:rPr>
              <w:t xml:space="preserve"> : </w:t>
            </w:r>
            <w:r>
              <w:rPr>
                <w:rFonts w:ascii="Marianne" w:hAnsi="Marianne"/>
                <w:b/>
                <w:bCs/>
                <w:color w:val="C9211E"/>
                <w:sz w:val="22"/>
                <w:szCs w:val="22"/>
                <w:shd w:fill="auto" w:val="clear"/>
              </w:rPr>
              <w:t>06/11/2025</w:t>
            </w:r>
            <w:bookmarkStart w:id="3" w:name="R0_p6_a1"/>
            <w:r>
              <w:rPr>
                <w:rFonts w:ascii="Marianne" w:hAnsi="Marianne"/>
                <w:b/>
                <w:bCs/>
                <w:color w:val="C9211E"/>
                <w:sz w:val="22"/>
                <w:szCs w:val="22"/>
                <w:shd w:fill="auto" w:val="clear"/>
              </w:rPr>
              <w:t xml:space="preserve"> à 11 h</w:t>
            </w:r>
            <w:bookmarkEnd w:id="3"/>
            <w:r>
              <w:rPr>
                <w:rFonts w:ascii="Marianne" w:hAnsi="Marianne"/>
                <w:b/>
                <w:bCs/>
                <w:color w:val="C9211E"/>
                <w:sz w:val="22"/>
                <w:szCs w:val="22"/>
                <w:shd w:fill="auto" w:val="clear"/>
              </w:rPr>
              <w:t xml:space="preserve"> 00</w:t>
            </w:r>
          </w:p>
          <w:p>
            <w:pPr>
              <w:pStyle w:val="Normal"/>
              <w:snapToGrid w:val="false"/>
              <w:ind w:left="567" w:right="499" w:hanging="0"/>
              <w:jc w:val="center"/>
              <w:rPr>
                <w:rFonts w:ascii="Marianne" w:hAnsi="Marianne"/>
                <w:sz w:val="22"/>
                <w:szCs w:val="22"/>
              </w:rPr>
            </w:pPr>
            <w:r>
              <w:rPr>
                <w:rFonts w:ascii="Marianne" w:hAnsi="Marianne"/>
                <w:sz w:val="22"/>
                <w:szCs w:val="22"/>
              </w:rPr>
              <w:t>(heure locale de l'adresse du RPA)</w:t>
            </w:r>
          </w:p>
          <w:p>
            <w:pPr>
              <w:pStyle w:val="Normal"/>
              <w:snapToGrid w:val="false"/>
              <w:spacing w:before="40" w:after="40"/>
              <w:ind w:left="567" w:right="499" w:hanging="0"/>
              <w:rPr>
                <w:rFonts w:ascii="Marianne" w:hAnsi="Marianne"/>
                <w:sz w:val="6"/>
                <w:szCs w:val="6"/>
              </w:rPr>
            </w:pPr>
            <w:r>
              <w:rPr>
                <w:rFonts w:ascii="Marianne" w:hAnsi="Marianne"/>
                <w:sz w:val="6"/>
                <w:szCs w:val="6"/>
              </w:rPr>
            </w:r>
          </w:p>
        </w:tc>
      </w:tr>
      <w:tr>
        <w:trPr/>
        <w:tc>
          <w:tcPr>
            <w:tcW w:w="15451" w:type="dxa"/>
            <w:gridSpan w:val="2"/>
            <w:tcBorders>
              <w:left w:val="double" w:sz="2" w:space="0" w:color="000000"/>
              <w:bottom w:val="double" w:sz="2" w:space="0" w:color="000000"/>
              <w:right w:val="double" w:sz="2" w:space="0" w:color="000000"/>
            </w:tcBorders>
          </w:tcPr>
          <w:p>
            <w:pPr>
              <w:pStyle w:val="Normal"/>
              <w:snapToGrid w:val="false"/>
              <w:spacing w:before="40" w:after="40"/>
              <w:ind w:left="567" w:right="499" w:hanging="0"/>
              <w:rPr>
                <w:rFonts w:ascii="Marianne" w:hAnsi="Marianne"/>
                <w:sz w:val="6"/>
              </w:rPr>
            </w:pPr>
            <w:r>
              <w:rPr>
                <w:rFonts w:ascii="Marianne" w:hAnsi="Marianne"/>
                <w:sz w:val="6"/>
              </w:rPr>
            </w:r>
          </w:p>
        </w:tc>
      </w:tr>
      <w:tr>
        <w:trPr>
          <w:trHeight w:val="280" w:hRule="atLeast"/>
        </w:trPr>
        <w:tc>
          <w:tcPr>
            <w:tcW w:w="15451" w:type="dxa"/>
            <w:gridSpan w:val="2"/>
            <w:tcBorders>
              <w:top w:val="double" w:sz="4" w:space="0" w:color="000000"/>
              <w:left w:val="double" w:sz="4" w:space="0" w:color="000000"/>
              <w:bottom w:val="single" w:sz="4" w:space="0" w:color="000000"/>
              <w:right w:val="double" w:sz="4" w:space="0" w:color="000000"/>
            </w:tcBorders>
            <w:shd w:color="auto" w:fill="FFFF00" w:val="clear"/>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GÉNÉRALITÉS SUR LES PRIX POUR L’ENSEMBLE DES TRAVAUX</w:t>
            </w:r>
          </w:p>
        </w:tc>
      </w:tr>
      <w:tr>
        <w:trPr>
          <w:trHeight w:val="280" w:hRule="atLeast"/>
        </w:trPr>
        <w:tc>
          <w:tcPr>
            <w:tcW w:w="360" w:type="dxa"/>
            <w:tcBorders>
              <w:top w:val="sing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rPr>
            </w:pPr>
            <w:r>
              <w:rPr>
                <w:rFonts w:ascii="Arial Narrow" w:hAnsi="Arial Narrow"/>
                <w:b/>
              </w:rPr>
            </w:r>
          </w:p>
        </w:tc>
        <w:tc>
          <w:tcPr>
            <w:tcW w:w="15091" w:type="dxa"/>
            <w:tcBorders>
              <w:top w:val="single" w:sz="4" w:space="0" w:color="000000"/>
              <w:left w:val="single" w:sz="2" w:space="0" w:color="000000"/>
              <w:bottom w:val="double" w:sz="4" w:space="0" w:color="000000"/>
              <w:right w:val="double" w:sz="4" w:space="0" w:color="000000"/>
            </w:tcBorders>
            <w:vAlign w:val="center"/>
          </w:tcPr>
          <w:p>
            <w:pPr>
              <w:pStyle w:val="Normal"/>
              <w:widowControl w:val="false"/>
              <w:tabs>
                <w:tab w:val="clear" w:pos="6804"/>
              </w:tabs>
              <w:spacing w:before="60" w:after="60"/>
              <w:rPr>
                <w:rFonts w:ascii="Arial Narrow" w:hAnsi="Arial Narrow"/>
              </w:rPr>
            </w:pPr>
            <w:r>
              <w:rPr>
                <w:rFonts w:ascii="Arial Narrow" w:hAnsi="Arial Narrow"/>
              </w:rPr>
              <w:t>L'ensemble des prix du bordereau des prix rémunère explicitement ou implicitement toutes les prestations et obligations de l'Entrepreneur définies dans les pièces du marché. Le cahier des charges, CCTP doit être lu conjointement avec le présent Bordereau des Prix / Détail Quantitatif Estimatif.</w:t>
            </w:r>
          </w:p>
          <w:p>
            <w:pPr>
              <w:pStyle w:val="Normal"/>
              <w:widowControl w:val="false"/>
              <w:tabs>
                <w:tab w:val="clear" w:pos="6804"/>
              </w:tabs>
              <w:spacing w:before="60" w:after="60"/>
              <w:rPr>
                <w:rFonts w:ascii="Arial Narrow" w:hAnsi="Arial Narrow"/>
              </w:rPr>
            </w:pPr>
            <w:r>
              <w:rPr>
                <w:rFonts w:ascii="Arial Narrow" w:hAnsi="Arial Narrow"/>
              </w:rPr>
              <w:t>L'entrepreneur se réfèrera à ces pièces pour autant qu'elles aient une incidence sur les détails de la description, de la qualité, des caractéristiques et des essais des matériaux utilisés et de leur mise en œuvre, ainsi que pour les détails des conditions, obligations, engagements, sujétions et instructions de toute nature auxquels il sera soumis dans l'exécution du marché.</w:t>
            </w:r>
          </w:p>
          <w:p>
            <w:pPr>
              <w:pStyle w:val="Normal"/>
              <w:widowControl w:val="false"/>
              <w:tabs>
                <w:tab w:val="clear" w:pos="6804"/>
              </w:tabs>
              <w:spacing w:before="60" w:after="60"/>
              <w:rPr>
                <w:rFonts w:ascii="Arial Narrow" w:hAnsi="Arial Narrow"/>
              </w:rPr>
            </w:pPr>
            <w:r>
              <w:rPr>
                <w:rFonts w:ascii="Arial Narrow" w:hAnsi="Arial Narrow"/>
              </w:rPr>
              <w:t xml:space="preserve">Malgré toute limitation que l'on pourrait inférer de la rédaction de la définition des prix et des explications données dans les présentes instructions générales relatives au bordereau des prix, les prix unitaires et les prix forfaitaires doivent pourvoir aux dépenses incidentes, imprévus et risques de toute sorte nécessaire à l'achèvement des travaux sous tous les rapports et leur entretien, le tout en accord avec les pièces du marché. L'entrepreneur ne pourra réclamer de paiement complémentaire concernant tout travail ou méthode d'exécution qui serait décrite dans le marché, sans qu'apparaisse pour autant de prix correspondant dans le bordereau de prix. </w:t>
            </w:r>
          </w:p>
          <w:p>
            <w:pPr>
              <w:pStyle w:val="Normal"/>
              <w:widowControl w:val="false"/>
              <w:tabs>
                <w:tab w:val="clear" w:pos="6804"/>
              </w:tabs>
              <w:spacing w:before="60" w:after="60"/>
              <w:rPr>
                <w:rFonts w:ascii="Arial Narrow" w:hAnsi="Arial Narrow"/>
              </w:rPr>
            </w:pPr>
            <w:r>
              <w:rPr>
                <w:rFonts w:ascii="Arial Narrow" w:hAnsi="Arial Narrow"/>
              </w:rPr>
              <w:t>Les prix correspondant dans le bordereau des prix à des ensembles doivent pourvoir à la construction et à l'achèvement de chacune des parties composantes de ces ensembles et à leur assemblage même si ces parties ne sont pas spécifiquement décrites dans les prix ou les instructions générales.</w:t>
            </w:r>
          </w:p>
          <w:p>
            <w:pPr>
              <w:pStyle w:val="Normal"/>
              <w:widowControl w:val="false"/>
              <w:tabs>
                <w:tab w:val="clear" w:pos="6804"/>
              </w:tabs>
              <w:spacing w:before="60" w:after="60"/>
              <w:rPr>
                <w:rFonts w:ascii="Arial Narrow" w:hAnsi="Arial Narrow"/>
              </w:rPr>
            </w:pPr>
            <w:r>
              <w:rPr>
                <w:rFonts w:ascii="Arial Narrow" w:hAnsi="Arial Narrow"/>
              </w:rPr>
              <w:t>Le coût de maîtriser l'eau (épuisement, dérivation, non interférence avec les distributions existantes, etc.) est réputé inclus dans les prix du bordereau des prix sauf lorsqu’expressément indiqué.</w:t>
            </w:r>
          </w:p>
          <w:p>
            <w:pPr>
              <w:pStyle w:val="Normal"/>
              <w:widowControl w:val="false"/>
              <w:tabs>
                <w:tab w:val="clear" w:pos="6804"/>
              </w:tabs>
              <w:spacing w:before="60" w:after="60"/>
              <w:rPr>
                <w:rFonts w:ascii="Arial Narrow" w:hAnsi="Arial Narrow"/>
              </w:rPr>
            </w:pPr>
            <w:r>
              <w:rPr>
                <w:rFonts w:ascii="Arial Narrow" w:hAnsi="Arial Narrow"/>
              </w:rPr>
              <w:t>Les prix unitaires et sommes forfaitaires s'appliquent toujours à un travail réellement exécuté et achevé à la satisfaction du Maître d'Œuvre.</w:t>
            </w:r>
          </w:p>
          <w:p>
            <w:pPr>
              <w:pStyle w:val="Normal"/>
              <w:widowControl w:val="false"/>
              <w:tabs>
                <w:tab w:val="clear" w:pos="6804"/>
              </w:tabs>
              <w:spacing w:before="60" w:after="60"/>
              <w:rPr>
                <w:rFonts w:ascii="Arial Narrow" w:hAnsi="Arial Narrow"/>
              </w:rPr>
            </w:pPr>
            <w:r>
              <w:rPr>
                <w:rFonts w:ascii="Arial Narrow" w:hAnsi="Arial Narrow"/>
              </w:rPr>
              <w:t>L'Entrepreneur est supposé avoir pris connaissance des lieux pour élaborer sa soumission et avoir examiné par lui-même les conditions dans lesquelles se dérouleront les travaux à exécuter et, de façon générale, tout ce qui peut avoir une influence sur le coût d'exécution des travaux.</w:t>
            </w:r>
          </w:p>
          <w:p>
            <w:pPr>
              <w:pStyle w:val="Normal"/>
              <w:widowControl w:val="false"/>
              <w:tabs>
                <w:tab w:val="clear" w:pos="6804"/>
              </w:tabs>
              <w:spacing w:before="60" w:after="60"/>
              <w:rPr>
                <w:rFonts w:ascii="Arial Narrow" w:hAnsi="Arial Narrow"/>
              </w:rPr>
            </w:pPr>
            <w:r>
              <w:rPr>
                <w:rFonts w:ascii="Arial Narrow" w:hAnsi="Arial Narrow"/>
              </w:rPr>
              <w:t xml:space="preserve">Les méthodes applicables aux métrés et aux paiements des travaux exécutés, qui seront spécifiés au bordereau des prix ou ailleurs dans le marché, seront les seules applicables pour l'évaluation des travaux effectués par l'entrepreneur même si elles diffèrent des méthodes d'exécution des travaux employées par l'Entrepreneur et approuvées par le Maître d'Œuvre ou son représentant. </w:t>
            </w:r>
          </w:p>
          <w:p>
            <w:pPr>
              <w:pStyle w:val="Normal"/>
              <w:widowControl w:val="false"/>
              <w:tabs>
                <w:tab w:val="clear" w:pos="6804"/>
              </w:tabs>
              <w:spacing w:before="60" w:after="60"/>
              <w:rPr>
                <w:rFonts w:ascii="Arial Narrow" w:hAnsi="Arial Narrow"/>
              </w:rPr>
            </w:pPr>
            <w:r>
              <w:rPr>
                <w:rFonts w:ascii="Arial Narrow" w:hAnsi="Arial Narrow"/>
              </w:rPr>
              <w:t>Sauf les cas mentionnés expressément dans les pièces du marché, les quantités qui seront prises en compte pour les règlements des travaux seront les quantités nettes à l'exclusion des chutes, recouvrements, emboîtements, pertes, expansion ou retrait qui résultent des plans d'exécution approuvés par le Maître d'Œuvre.</w:t>
            </w:r>
          </w:p>
          <w:p>
            <w:pPr>
              <w:pStyle w:val="Normal"/>
              <w:widowControl w:val="false"/>
              <w:tabs>
                <w:tab w:val="clear" w:pos="6804"/>
              </w:tabs>
              <w:spacing w:before="60" w:after="60"/>
              <w:rPr>
                <w:rFonts w:ascii="Arial Narrow" w:hAnsi="Arial Narrow"/>
              </w:rPr>
            </w:pPr>
            <w:r>
              <w:rPr>
                <w:rFonts w:ascii="Arial Narrow" w:hAnsi="Arial Narrow"/>
              </w:rPr>
              <w:t xml:space="preserve">Sauf indication contraire mentionnée dans le présent bordereau des prix, chaque prix couvre la fourniture, le transport à pied d'œuvre et la mise en œuvre ou la mise en place des matériaux et matériels nécessaires à l'exécution des travaux suivant les règles de l'art et conformément aux prescriptions du Marché et des CCTG correspondants. </w:t>
            </w:r>
          </w:p>
          <w:p>
            <w:pPr>
              <w:pStyle w:val="Normal"/>
              <w:widowControl w:val="false"/>
              <w:tabs>
                <w:tab w:val="clear" w:pos="6804"/>
              </w:tabs>
              <w:spacing w:before="60" w:after="60"/>
              <w:rPr>
                <w:rFonts w:ascii="Arial Narrow" w:hAnsi="Arial Narrow"/>
              </w:rPr>
            </w:pPr>
            <w:r>
              <w:rPr>
                <w:rFonts w:ascii="Arial Narrow" w:hAnsi="Arial Narrow"/>
              </w:rPr>
              <w:t>Sauf indication contraire mentionnée au bordereau des prix, les quantités de travaux à prendre en compte seront le résultat des métrés établis à partir de dessins d'exécution approuvés par le Maître d'œuvre, ou des attachements de travaux terminés pris contradictoirement pour les travaux demandés par le Maître d'œuvre ne faisant pas l'objet de dessin d’exécution ; exception faite des travaux rémunérés au forfait. Tous les frais relatifs à toutes les installations de chantier, aux travaux et ouvrages provisoires, autres que ceux qui font l'objet de prix distincts ainsi que les compléments ou les modifications d'installations ou d'ouvrages provisoires qui devront être réalisés en cours de travaux sont intégralement compris dans les prix des ouvrages définitifs et sont à la charge de l’entreprise.</w:t>
            </w:r>
          </w:p>
          <w:p>
            <w:pPr>
              <w:pStyle w:val="Normal"/>
              <w:widowControl w:val="false"/>
              <w:tabs>
                <w:tab w:val="clear" w:pos="6804"/>
              </w:tabs>
              <w:spacing w:before="60" w:after="60"/>
              <w:rPr>
                <w:rFonts w:ascii="Arial Narrow" w:hAnsi="Arial Narrow"/>
              </w:rPr>
            </w:pPr>
            <w:r>
              <w:rPr>
                <w:rFonts w:ascii="Arial Narrow" w:hAnsi="Arial Narrow"/>
              </w:rPr>
              <w:t>Ces prix sont valables pour les travaux concernés par le présent marché.</w:t>
            </w:r>
          </w:p>
          <w:p>
            <w:pPr>
              <w:pStyle w:val="Normal"/>
              <w:widowControl w:val="false"/>
              <w:tabs>
                <w:tab w:val="clear" w:pos="6804"/>
              </w:tabs>
              <w:spacing w:before="60" w:after="60"/>
              <w:rPr>
                <w:rFonts w:ascii="Arial Narrow" w:hAnsi="Arial Narrow"/>
              </w:rPr>
            </w:pPr>
            <w:r>
              <w:rPr>
                <w:rFonts w:ascii="Arial Narrow" w:hAnsi="Arial Narrow"/>
              </w:rPr>
              <w:t>Les prix du bordereau s'entendent pour l'ensemble des travaux entièrement terminés et prêts à être mis en service pour l'exploitation normale.</w:t>
            </w:r>
          </w:p>
          <w:p>
            <w:pPr>
              <w:pStyle w:val="Normal"/>
              <w:widowControl w:val="false"/>
              <w:tabs>
                <w:tab w:val="clear" w:pos="6804"/>
              </w:tabs>
              <w:spacing w:before="60" w:after="60"/>
              <w:rPr>
                <w:rFonts w:ascii="Arial Narrow" w:hAnsi="Arial Narrow"/>
              </w:rPr>
            </w:pPr>
            <w:r>
              <w:rPr>
                <w:rFonts w:ascii="Arial Narrow" w:hAnsi="Arial Narrow"/>
              </w:rPr>
              <w:t>Ils incluent également toutes les prestations d'ordre général notamment :</w:t>
            </w:r>
          </w:p>
          <w:p>
            <w:pPr>
              <w:pStyle w:val="Puce1"/>
              <w:widowControl w:val="false"/>
              <w:numPr>
                <w:ilvl w:val="0"/>
                <w:numId w:val="1"/>
              </w:numPr>
              <w:ind w:left="284" w:hanging="284"/>
              <w:rPr>
                <w:rFonts w:ascii="Arial Narrow" w:hAnsi="Arial Narrow"/>
              </w:rPr>
            </w:pPr>
            <w:r>
              <w:rPr>
                <w:rFonts w:ascii="Arial Narrow" w:hAnsi="Arial Narrow"/>
              </w:rPr>
              <w:t>Toutes fournitures, travaux et prestations définis par le marché et ne faisant pas l'objet d'un prix spécifique dans le présent bordereau ;</w:t>
            </w:r>
          </w:p>
          <w:p>
            <w:pPr>
              <w:pStyle w:val="Puce1"/>
              <w:widowControl w:val="false"/>
              <w:numPr>
                <w:ilvl w:val="0"/>
                <w:numId w:val="1"/>
              </w:numPr>
              <w:ind w:left="284" w:hanging="284"/>
              <w:rPr>
                <w:rFonts w:ascii="Arial Narrow" w:hAnsi="Arial Narrow"/>
              </w:rPr>
            </w:pPr>
            <w:r>
              <w:rPr>
                <w:rFonts w:ascii="Arial Narrow" w:hAnsi="Arial Narrow"/>
              </w:rPr>
              <w:t>Les reconnaissances, travaux de topographie complémentaires liés à l'exécution des travaux et des métrés ;</w:t>
            </w:r>
          </w:p>
          <w:p>
            <w:pPr>
              <w:pStyle w:val="Puce1"/>
              <w:widowControl w:val="false"/>
              <w:numPr>
                <w:ilvl w:val="0"/>
                <w:numId w:val="1"/>
              </w:numPr>
              <w:ind w:left="284" w:hanging="284"/>
              <w:rPr>
                <w:rFonts w:ascii="Arial Narrow" w:hAnsi="Arial Narrow"/>
              </w:rPr>
            </w:pPr>
            <w:r>
              <w:rPr>
                <w:rFonts w:ascii="Arial Narrow" w:hAnsi="Arial Narrow"/>
              </w:rPr>
              <w:t>L'approvisionnement des chantiers en eau et en énergie nécessaire à l'exécution des travaux ;</w:t>
            </w:r>
          </w:p>
          <w:p>
            <w:pPr>
              <w:pStyle w:val="Puce1"/>
              <w:widowControl w:val="false"/>
              <w:numPr>
                <w:ilvl w:val="0"/>
                <w:numId w:val="1"/>
              </w:numPr>
              <w:ind w:left="284" w:hanging="284"/>
              <w:rPr>
                <w:rFonts w:ascii="Arial Narrow" w:hAnsi="Arial Narrow"/>
              </w:rPr>
            </w:pPr>
            <w:r>
              <w:rPr>
                <w:rFonts w:ascii="Arial Narrow" w:hAnsi="Arial Narrow"/>
              </w:rPr>
              <w:t>La mise en œuvre des moyens nécessaires provisoires ou définitifs qui s'imposent pour éviter que les eaux de ruissellement n'endommagent les profils de terrassement et les travaux, ou ne modifient la qualité des matériaux de déblais devant être réutilisés en remblai ;</w:t>
            </w:r>
          </w:p>
          <w:p>
            <w:pPr>
              <w:pStyle w:val="Puce1"/>
              <w:widowControl w:val="false"/>
              <w:numPr>
                <w:ilvl w:val="0"/>
                <w:numId w:val="1"/>
              </w:numPr>
              <w:ind w:left="284" w:hanging="284"/>
              <w:rPr>
                <w:rFonts w:ascii="Arial Narrow" w:hAnsi="Arial Narrow"/>
              </w:rPr>
            </w:pPr>
            <w:r>
              <w:rPr>
                <w:rFonts w:ascii="Arial Narrow" w:hAnsi="Arial Narrow"/>
              </w:rPr>
              <w:t>Les dérivations éventuelles et remises en état de réseaux existants de toute nature se trouvant dans l'emprise des travaux et dans l'emprise des installations de chantier (EDF, éclairage urbain, téléphone, réseaux d'eaux pluviales, d'eaux potables, etc.........) ;</w:t>
            </w:r>
          </w:p>
          <w:p>
            <w:pPr>
              <w:pStyle w:val="Puce1"/>
              <w:widowControl w:val="false"/>
              <w:numPr>
                <w:ilvl w:val="0"/>
                <w:numId w:val="1"/>
              </w:numPr>
              <w:ind w:left="284" w:hanging="284"/>
              <w:rPr>
                <w:rFonts w:ascii="Arial Narrow" w:hAnsi="Arial Narrow"/>
              </w:rPr>
            </w:pPr>
            <w:r>
              <w:rPr>
                <w:rFonts w:ascii="Arial Narrow" w:hAnsi="Arial Narrow"/>
              </w:rPr>
              <w:t>La fourniture, installation du matériel de pompage nécessaire aux travaux y compris frais de pompage pendant la durée des travaux ;</w:t>
            </w:r>
          </w:p>
          <w:p>
            <w:pPr>
              <w:pStyle w:val="Puce1"/>
              <w:widowControl w:val="false"/>
              <w:numPr>
                <w:ilvl w:val="0"/>
                <w:numId w:val="1"/>
              </w:numPr>
              <w:ind w:left="284" w:hanging="284"/>
              <w:rPr>
                <w:rFonts w:ascii="Arial Narrow" w:hAnsi="Arial Narrow"/>
              </w:rPr>
            </w:pPr>
            <w:r>
              <w:rPr>
                <w:rFonts w:ascii="Arial Narrow" w:hAnsi="Arial Narrow"/>
              </w:rPr>
              <w:t>Les contrôles et essais imposés par le CCTP ;</w:t>
            </w:r>
          </w:p>
          <w:p>
            <w:pPr>
              <w:pStyle w:val="Puce1"/>
              <w:widowControl w:val="false"/>
              <w:numPr>
                <w:ilvl w:val="0"/>
                <w:numId w:val="1"/>
              </w:numPr>
              <w:ind w:left="284" w:hanging="284"/>
              <w:rPr>
                <w:rFonts w:ascii="Arial Narrow" w:hAnsi="Arial Narrow"/>
              </w:rPr>
            </w:pPr>
            <w:r>
              <w:rPr>
                <w:rFonts w:ascii="Arial Narrow" w:hAnsi="Arial Narrow"/>
              </w:rPr>
              <w:t>Les frais de laboratoire de chantier nécessaires à la conduite du chantier ;</w:t>
            </w:r>
          </w:p>
          <w:p>
            <w:pPr>
              <w:pStyle w:val="Puce1"/>
              <w:widowControl w:val="false"/>
              <w:numPr>
                <w:ilvl w:val="0"/>
                <w:numId w:val="1"/>
              </w:numPr>
              <w:ind w:left="284" w:hanging="284"/>
              <w:rPr>
                <w:rFonts w:ascii="Arial Narrow" w:hAnsi="Arial Narrow"/>
              </w:rPr>
            </w:pPr>
            <w:r>
              <w:rPr>
                <w:rFonts w:ascii="Arial Narrow" w:hAnsi="Arial Narrow"/>
              </w:rPr>
              <w:t>La réalisation et la mise au point du planning d'exécution, de ses modifications et mises à jour éventuelles ;</w:t>
            </w:r>
          </w:p>
          <w:p>
            <w:pPr>
              <w:pStyle w:val="Puce1"/>
              <w:widowControl w:val="false"/>
              <w:numPr>
                <w:ilvl w:val="0"/>
                <w:numId w:val="1"/>
              </w:numPr>
              <w:ind w:left="284" w:hanging="284"/>
              <w:rPr>
                <w:rFonts w:ascii="Arial Narrow" w:hAnsi="Arial Narrow"/>
              </w:rPr>
            </w:pPr>
            <w:r>
              <w:rPr>
                <w:rFonts w:ascii="Arial Narrow" w:hAnsi="Arial Narrow"/>
              </w:rPr>
              <w:t>Toutes sujétions de réalisation des travaux selon les horaires imposées par les services de la DEAL et précisées dans le CCTP ;</w:t>
            </w:r>
          </w:p>
          <w:p>
            <w:pPr>
              <w:pStyle w:val="Puce1"/>
              <w:widowControl w:val="false"/>
              <w:numPr>
                <w:ilvl w:val="0"/>
                <w:numId w:val="1"/>
              </w:numPr>
              <w:ind w:left="284" w:hanging="284"/>
              <w:rPr>
                <w:rFonts w:ascii="Arial Narrow" w:hAnsi="Arial Narrow"/>
              </w:rPr>
            </w:pPr>
            <w:r>
              <w:rPr>
                <w:rFonts w:ascii="Arial Narrow" w:hAnsi="Arial Narrow"/>
              </w:rPr>
              <w:t>La réalisation des réfections provisoires et définitives de voirie endommagée suite aux travaux ;</w:t>
            </w:r>
          </w:p>
          <w:p>
            <w:pPr>
              <w:pStyle w:val="Puce1"/>
              <w:widowControl w:val="false"/>
              <w:numPr>
                <w:ilvl w:val="0"/>
                <w:numId w:val="1"/>
              </w:numPr>
              <w:ind w:left="284" w:hanging="284"/>
              <w:rPr>
                <w:rFonts w:ascii="Arial Narrow" w:hAnsi="Arial Narrow"/>
              </w:rPr>
            </w:pPr>
            <w:r>
              <w:rPr>
                <w:rFonts w:ascii="Arial Narrow" w:hAnsi="Arial Narrow"/>
              </w:rPr>
              <w:t>La réalisation et la mise au point du PAQ et des PPSPS, SOGED et PAE ;</w:t>
            </w:r>
          </w:p>
          <w:p>
            <w:pPr>
              <w:pStyle w:val="Puce1"/>
              <w:widowControl w:val="false"/>
              <w:numPr>
                <w:ilvl w:val="0"/>
                <w:numId w:val="1"/>
              </w:numPr>
              <w:ind w:left="284" w:hanging="284"/>
              <w:rPr>
                <w:rFonts w:ascii="Arial Narrow" w:hAnsi="Arial Narrow"/>
              </w:rPr>
            </w:pPr>
            <w:r>
              <w:rPr>
                <w:rFonts w:ascii="Arial Narrow" w:hAnsi="Arial Narrow"/>
              </w:rPr>
              <w:t>Les prescriptions du coordonnateur hygiène et sécurité, ainsi que les installations nécessaires pour assurer l'hygiène et la sécurité sur le site du chantier ;</w:t>
            </w:r>
          </w:p>
          <w:p>
            <w:pPr>
              <w:pStyle w:val="Puce1"/>
              <w:widowControl w:val="false"/>
              <w:numPr>
                <w:ilvl w:val="0"/>
                <w:numId w:val="1"/>
              </w:numPr>
              <w:ind w:left="284" w:hanging="284"/>
              <w:rPr>
                <w:rFonts w:ascii="Arial Narrow" w:hAnsi="Arial Narrow"/>
              </w:rPr>
            </w:pPr>
            <w:r>
              <w:rPr>
                <w:rFonts w:ascii="Arial Narrow" w:hAnsi="Arial Narrow"/>
              </w:rPr>
              <w:t>La réalisation des études, des plans d'exécution des ouvrages, la fourniture des dossiers de déclaration de travaux pour les locaux techniques et la diffusion des spécifications techniques détaillées des équipements et fournitures proposées ;</w:t>
            </w:r>
          </w:p>
          <w:p>
            <w:pPr>
              <w:pStyle w:val="Puce1"/>
              <w:widowControl w:val="false"/>
              <w:numPr>
                <w:ilvl w:val="0"/>
                <w:numId w:val="1"/>
              </w:numPr>
              <w:ind w:left="284" w:hanging="284"/>
              <w:rPr>
                <w:rFonts w:ascii="Arial Narrow" w:hAnsi="Arial Narrow"/>
              </w:rPr>
            </w:pPr>
            <w:r>
              <w:rPr>
                <w:rFonts w:ascii="Arial Narrow" w:hAnsi="Arial Narrow"/>
              </w:rPr>
              <w:t>La fourniture et la diffusion de l'ensemble des documents spécifiés par le marché ;</w:t>
            </w:r>
          </w:p>
          <w:p>
            <w:pPr>
              <w:pStyle w:val="Puce1"/>
              <w:widowControl w:val="false"/>
              <w:numPr>
                <w:ilvl w:val="0"/>
                <w:numId w:val="1"/>
              </w:numPr>
              <w:ind w:left="284" w:hanging="284"/>
              <w:rPr>
                <w:rFonts w:ascii="Arial Narrow" w:hAnsi="Arial Narrow"/>
              </w:rPr>
            </w:pPr>
            <w:r>
              <w:rPr>
                <w:rFonts w:ascii="Arial Narrow" w:hAnsi="Arial Narrow"/>
              </w:rPr>
              <w:t>Les sujétions résultantes du contrôle interne de qualité, contrôle externe de qualité et de l'application du PAQ ;</w:t>
            </w:r>
          </w:p>
          <w:p>
            <w:pPr>
              <w:pStyle w:val="Puce1"/>
              <w:widowControl w:val="false"/>
              <w:numPr>
                <w:ilvl w:val="0"/>
                <w:numId w:val="1"/>
              </w:numPr>
              <w:spacing w:before="0" w:after="240"/>
              <w:ind w:left="284" w:hanging="284"/>
              <w:rPr>
                <w:rFonts w:ascii="Arial Narrow" w:hAnsi="Arial Narrow"/>
              </w:rPr>
            </w:pPr>
            <w:r>
              <w:rPr>
                <w:rFonts w:ascii="Arial Narrow" w:hAnsi="Arial Narrow"/>
              </w:rPr>
              <w:t>L'ensemble des opérations de tri, chargement, déchargement, stockage provisoire ou intermédiaire et reprise jusqu'à pied d'œuvre de tous les matériaux et matériels ;</w:t>
            </w:r>
            <w:bookmarkStart w:id="4" w:name="_GoBack"/>
          </w:p>
        </w:tc>
      </w:tr>
    </w:tbl>
    <w:p>
      <w:pPr>
        <w:pStyle w:val="Normal"/>
        <w:tabs>
          <w:tab w:val="clear" w:pos="6804"/>
        </w:tabs>
        <w:rPr>
          <w:rFonts w:ascii="Arial Narrow" w:hAnsi="Arial Narrow"/>
          <w:b/>
          <w:b/>
          <w:bCs/>
          <w:sz w:val="2"/>
          <w:szCs w:val="2"/>
        </w:rPr>
      </w:pPr>
      <w:r>
        <w:rPr>
          <w:rFonts w:ascii="Arial Narrow" w:hAnsi="Arial Narrow"/>
          <w:b/>
          <w:bCs/>
          <w:sz w:val="2"/>
          <w:szCs w:val="2"/>
        </w:rPr>
      </w:r>
      <w:bookmarkEnd w:id="4"/>
      <w:r>
        <w:br w:type="page"/>
      </w:r>
    </w:p>
    <w:tbl>
      <w:tblPr>
        <w:tblW w:w="15487" w:type="dxa"/>
        <w:jc w:val="left"/>
        <w:tblInd w:w="-334" w:type="dxa"/>
        <w:tblCellMar>
          <w:top w:w="0" w:type="dxa"/>
          <w:left w:w="70" w:type="dxa"/>
          <w:bottom w:w="0" w:type="dxa"/>
          <w:right w:w="70" w:type="dxa"/>
        </w:tblCellMar>
        <w:tblLook w:firstRow="0" w:noVBand="0" w:lastRow="0" w:firstColumn="0" w:lastColumn="0" w:noHBand="0" w:val="0000"/>
      </w:tblPr>
      <w:tblGrid>
        <w:gridCol w:w="799"/>
        <w:gridCol w:w="51"/>
        <w:gridCol w:w="9815"/>
        <w:gridCol w:w="250"/>
        <w:gridCol w:w="769"/>
        <w:gridCol w:w="81"/>
        <w:gridCol w:w="1367"/>
        <w:gridCol w:w="216"/>
        <w:gridCol w:w="2139"/>
      </w:tblGrid>
      <w:tr>
        <w:trPr>
          <w:tblHeader w:val="true"/>
          <w:trHeight w:val="567" w:hRule="atLeast"/>
        </w:trPr>
        <w:tc>
          <w:tcPr>
            <w:tcW w:w="799" w:type="dxa"/>
            <w:tcBorders>
              <w:top w:val="double" w:sz="4" w:space="0" w:color="000000"/>
              <w:left w:val="double" w:sz="4" w:space="0" w:color="000000"/>
              <w:bottom w:val="double" w:sz="4" w:space="0" w:color="000000"/>
              <w:right w:val="single" w:sz="4" w:space="0" w:color="000000"/>
            </w:tcBorders>
            <w:shd w:color="000000" w:fill="FFFFFF" w:val="clear"/>
            <w:vAlign w:val="center"/>
          </w:tcPr>
          <w:p>
            <w:pPr>
              <w:pStyle w:val="Normal"/>
              <w:pageBreakBefore/>
              <w:widowControl w:val="false"/>
              <w:tabs>
                <w:tab w:val="clear" w:pos="6804"/>
              </w:tabs>
              <w:spacing w:before="120" w:after="120"/>
              <w:jc w:val="center"/>
              <w:rPr>
                <w:rFonts w:ascii="Arial Narrow" w:hAnsi="Arial Narrow"/>
                <w:b/>
                <w:b/>
              </w:rPr>
            </w:pPr>
            <w:r>
              <w:rPr>
                <w:rFonts w:ascii="Arial Narrow" w:hAnsi="Arial Narrow"/>
                <w:b/>
              </w:rPr>
              <w:t>N° DES PRIX</w:t>
            </w:r>
          </w:p>
        </w:tc>
        <w:tc>
          <w:tcPr>
            <w:tcW w:w="9866" w:type="dxa"/>
            <w:gridSpan w:val="2"/>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DÉSIGNATION DES FOURNITURES OU TRAVAUX </w:t>
              <w:br/>
              <w:t>(Unités et prix en lettres)</w:t>
            </w:r>
          </w:p>
        </w:tc>
        <w:tc>
          <w:tcPr>
            <w:tcW w:w="1019" w:type="dxa"/>
            <w:gridSpan w:val="2"/>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UNITE</w:t>
            </w:r>
          </w:p>
        </w:tc>
        <w:tc>
          <w:tcPr>
            <w:tcW w:w="1448" w:type="dxa"/>
            <w:gridSpan w:val="2"/>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PRIX UNITAIRE (euros HT)</w:t>
            </w:r>
          </w:p>
        </w:tc>
        <w:tc>
          <w:tcPr>
            <w:tcW w:w="2355" w:type="dxa"/>
            <w:gridSpan w:val="2"/>
            <w:tcBorders>
              <w:top w:val="double" w:sz="4" w:space="0" w:color="000000"/>
              <w:left w:val="single" w:sz="4" w:space="0" w:color="000000"/>
              <w:bottom w:val="double" w:sz="4" w:space="0" w:color="000000"/>
              <w:right w:val="doub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PRIX </w:t>
              <w:br/>
              <w:t>(euros HT)</w:t>
            </w:r>
          </w:p>
        </w:tc>
      </w:tr>
      <w:tr>
        <w:trPr>
          <w:trHeight w:val="224" w:hRule="atLeast"/>
        </w:trPr>
        <w:tc>
          <w:tcPr>
            <w:tcW w:w="15487" w:type="dxa"/>
            <w:gridSpan w:val="9"/>
            <w:tcBorders>
              <w:left w:val="double" w:sz="4" w:space="0" w:color="000000"/>
              <w:bottom w:val="double" w:sz="4" w:space="0" w:color="000000"/>
              <w:right w:val="double" w:sz="4" w:space="0" w:color="000000"/>
            </w:tcBorders>
            <w:shd w:color="auto" w:fill="FFFF00" w:val="clear"/>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1. TRAVAUX PRELIMINAIRES</w:t>
            </w:r>
          </w:p>
        </w:tc>
      </w:tr>
      <w:tr>
        <w:trPr>
          <w:trHeight w:val="5909"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b/>
                <w:b/>
                <w:bCs/>
              </w:rPr>
            </w:pPr>
            <w:r>
              <w:rPr>
                <w:rFonts w:ascii="Arial Narrow" w:hAnsi="Arial Narrow"/>
                <w:b/>
                <w:bCs/>
              </w:rPr>
              <w:t>1.1</w:t>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highlight w:val="yellow"/>
              </w:rPr>
            </w:pPr>
            <w:r>
              <w:rPr>
                <w:rFonts w:ascii="Arial Narrow" w:hAnsi="Arial Narrow"/>
                <w:b/>
                <w:bCs/>
                <w:highlight w:val="yellow"/>
              </w:rPr>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0" w:after="120"/>
              <w:rPr>
                <w:rFonts w:ascii="Arial Narrow" w:hAnsi="Arial Narrow"/>
                <w:caps/>
              </w:rPr>
            </w:pPr>
            <w:r>
              <w:rPr>
                <w:rFonts w:ascii="Arial Narrow" w:hAnsi="Arial Narrow"/>
                <w:caps/>
              </w:rPr>
              <w:t>Études d’exécution ET DOSSIER DE RECOLEMENT</w:t>
            </w:r>
          </w:p>
          <w:p>
            <w:pPr>
              <w:pStyle w:val="Normal"/>
              <w:widowControl w:val="false"/>
              <w:rPr>
                <w:rFonts w:ascii="Arial Narrow" w:hAnsi="Arial Narrow" w:cs="Arial"/>
              </w:rPr>
            </w:pPr>
            <w:r>
              <w:rPr>
                <w:rFonts w:cs="Arial" w:ascii="Arial Narrow" w:hAnsi="Arial Narrow"/>
              </w:rPr>
              <w:t>Ce prix rémunère au forfait, l’ensemble des études à mener préalablement au bon déroulement du chantier et nécessitant le VISA du MOE, ainsi que le dossier des ouvrages exécutés (DOE).</w:t>
            </w:r>
          </w:p>
          <w:p>
            <w:pPr>
              <w:pStyle w:val="Normal"/>
              <w:widowControl w:val="false"/>
              <w:rPr>
                <w:rFonts w:ascii="Arial Narrow" w:hAnsi="Arial Narrow" w:cs="Arial"/>
              </w:rPr>
            </w:pPr>
            <w:r>
              <w:rPr>
                <w:rFonts w:cs="Arial"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les études des accès aux zones de travaux, et de positionnement et mise en œuvre des zones d’installations de chantier, y compris plans associés (plan de circulation pour le chantier mais aussi pour les abords du chantier, itinéraire de déviation si nécessaire et plan d’installation de chantier) et mise en place de convention de passage et/ou d’occupation avec les propriétaires des parcelles impliquées,</w:t>
            </w:r>
          </w:p>
          <w:p>
            <w:pPr>
              <w:pStyle w:val="ListParagraph"/>
              <w:widowControl w:val="false"/>
              <w:numPr>
                <w:ilvl w:val="0"/>
                <w:numId w:val="2"/>
              </w:numPr>
              <w:rPr>
                <w:rFonts w:ascii="Arial Narrow" w:hAnsi="Arial Narrow" w:cs="Arial"/>
              </w:rPr>
            </w:pPr>
            <w:r>
              <w:rPr>
                <w:rFonts w:cs="Arial" w:ascii="Arial Narrow" w:hAnsi="Arial Narrow"/>
              </w:rPr>
              <w:t>les études de positionnement, dimensionnement et les procédures de mise en œuvre des ouvrages définitifs, y compris plans associés (plan d’exécution, profils, coupe types…),</w:t>
            </w:r>
          </w:p>
          <w:p>
            <w:pPr>
              <w:pStyle w:val="ListParagraph"/>
              <w:widowControl w:val="false"/>
              <w:numPr>
                <w:ilvl w:val="0"/>
                <w:numId w:val="2"/>
              </w:numPr>
              <w:rPr>
                <w:rFonts w:ascii="Arial Narrow" w:hAnsi="Arial Narrow" w:cs="Arial"/>
              </w:rPr>
            </w:pPr>
            <w:r>
              <w:rPr>
                <w:rFonts w:cs="Arial" w:ascii="Arial Narrow" w:hAnsi="Arial Narrow"/>
              </w:rPr>
              <w:t>les demandes d’agrément matériaux et fournitures, notamment relatives à la qualité des matériaux mis en œuvre dans les ouvrages définitifs (fascines, lits de plants et plançons, plantations, géotextiles, etc.),</w:t>
            </w:r>
          </w:p>
          <w:p>
            <w:pPr>
              <w:pStyle w:val="ListParagraph"/>
              <w:widowControl w:val="false"/>
              <w:numPr>
                <w:ilvl w:val="0"/>
                <w:numId w:val="2"/>
              </w:numPr>
              <w:rPr>
                <w:rFonts w:ascii="Arial Narrow" w:hAnsi="Arial Narrow"/>
              </w:rPr>
            </w:pPr>
            <w:r>
              <w:rPr>
                <w:rFonts w:cs="Arial" w:ascii="Arial Narrow" w:hAnsi="Arial Narrow"/>
              </w:rPr>
              <w:t>La remise des études d'exécution au maître d'œuvre (1 exemplaire papier et sur support informatique)</w:t>
            </w:r>
          </w:p>
          <w:p>
            <w:pPr>
              <w:pStyle w:val="ListParagraph"/>
              <w:widowControl w:val="false"/>
              <w:numPr>
                <w:ilvl w:val="0"/>
                <w:numId w:val="2"/>
              </w:numPr>
              <w:spacing w:before="40" w:after="0"/>
              <w:contextualSpacing/>
              <w:rPr>
                <w:rFonts w:ascii="Arial Narrow" w:hAnsi="Arial Narrow"/>
              </w:rPr>
            </w:pPr>
            <w:r>
              <w:rPr>
                <w:rFonts w:cs="Arial" w:ascii="Arial Narrow" w:hAnsi="Arial Narrow"/>
              </w:rPr>
              <w:t>La remise de tous les ²documents de récolement sous forme de DOE, comprenant :</w:t>
            </w:r>
          </w:p>
          <w:p>
            <w:pPr>
              <w:pStyle w:val="ListParagraph"/>
              <w:widowControl w:val="false"/>
              <w:numPr>
                <w:ilvl w:val="1"/>
                <w:numId w:val="2"/>
              </w:numPr>
              <w:spacing w:before="0" w:after="40"/>
              <w:contextualSpacing/>
              <w:rPr>
                <w:rFonts w:ascii="Arial Narrow" w:hAnsi="Arial Narrow"/>
              </w:rPr>
            </w:pPr>
            <w:r>
              <w:rPr>
                <w:rFonts w:cs="Arial" w:ascii="Arial Narrow" w:hAnsi="Arial Narrow"/>
              </w:rPr>
              <w:t>L’ensemble des levés topographiques, les plans, profils et coupe types des ouvrages exécutés, géoréférencés au format numérique et papier</w:t>
            </w:r>
          </w:p>
          <w:p>
            <w:pPr>
              <w:pStyle w:val="ListParagraph"/>
              <w:widowControl w:val="false"/>
              <w:numPr>
                <w:ilvl w:val="1"/>
                <w:numId w:val="2"/>
              </w:numPr>
              <w:rPr>
                <w:rFonts w:ascii="Arial Narrow" w:hAnsi="Arial Narrow"/>
              </w:rPr>
            </w:pPr>
            <w:r>
              <w:rPr>
                <w:rFonts w:ascii="Arial Narrow" w:hAnsi="Arial Narrow"/>
              </w:rPr>
              <w:t>Les bordereaux de suivi des déchets et les bons de livraison des matériaux.</w:t>
            </w:r>
          </w:p>
          <w:p>
            <w:pPr>
              <w:pStyle w:val="Normal"/>
              <w:widowControl w:val="false"/>
              <w:rPr>
                <w:rFonts w:ascii="Arial Narrow" w:hAnsi="Arial Narrow" w:cs="Arial"/>
              </w:rPr>
            </w:pPr>
            <w:r>
              <w:rPr>
                <w:rFonts w:cs="Arial" w:ascii="Arial Narrow" w:hAnsi="Arial Narrow"/>
              </w:rPr>
              <w:t>Une liste exhaustive sera établie en début de période de préparation.</w:t>
            </w:r>
          </w:p>
          <w:p>
            <w:pPr>
              <w:pStyle w:val="Normal"/>
              <w:widowControl w:val="false"/>
              <w:rPr>
                <w:rFonts w:ascii="Arial Narrow" w:hAnsi="Arial Narrow" w:cs="Arial"/>
              </w:rPr>
            </w:pPr>
            <w:r>
              <w:rPr>
                <w:rFonts w:cs="Arial" w:ascii="Arial Narrow" w:hAnsi="Arial Narrow"/>
              </w:rPr>
            </w:r>
          </w:p>
          <w:p>
            <w:pPr>
              <w:pStyle w:val="Normal"/>
              <w:widowControl w:val="false"/>
              <w:rPr>
                <w:rFonts w:ascii="Arial Narrow" w:hAnsi="Arial Narrow" w:cs="Arial"/>
              </w:rPr>
            </w:pPr>
            <w:r>
              <w:rPr>
                <w:rFonts w:cs="Arial" w:ascii="Arial Narrow" w:hAnsi="Arial Narrow"/>
              </w:rPr>
              <w:t>Ce prix sera rémunéré en 2 phases :</w:t>
            </w:r>
          </w:p>
          <w:p>
            <w:pPr>
              <w:pStyle w:val="ListParagraph"/>
              <w:widowControl w:val="false"/>
              <w:numPr>
                <w:ilvl w:val="0"/>
                <w:numId w:val="2"/>
              </w:numPr>
              <w:rPr>
                <w:rFonts w:ascii="Arial Narrow" w:hAnsi="Arial Narrow" w:cs="Arial"/>
              </w:rPr>
            </w:pPr>
            <w:r>
              <w:rPr>
                <w:rFonts w:cs="Arial" w:ascii="Arial Narrow" w:hAnsi="Arial Narrow"/>
              </w:rPr>
              <w:t>A hauteur de 70% à la validation des documents d’exécution</w:t>
            </w:r>
          </w:p>
          <w:p>
            <w:pPr>
              <w:pStyle w:val="ListParagraph"/>
              <w:widowControl w:val="false"/>
              <w:numPr>
                <w:ilvl w:val="0"/>
                <w:numId w:val="2"/>
              </w:numPr>
              <w:spacing w:before="40" w:after="40"/>
              <w:contextualSpacing/>
              <w:rPr>
                <w:rFonts w:ascii="Arial Narrow" w:hAnsi="Arial Narrow" w:cs="Arial"/>
              </w:rPr>
            </w:pPr>
            <w:r>
              <w:rPr>
                <w:rFonts w:cs="Arial" w:ascii="Arial Narrow" w:hAnsi="Arial Narrow"/>
              </w:rPr>
              <w:t>Versement du solde à la validation du DOE.</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Titre1"/>
              <w:keepNext w:val="false"/>
              <w:widowControl w:val="false"/>
              <w:tabs>
                <w:tab w:val="clear" w:pos="6804"/>
              </w:tabs>
              <w:spacing w:before="120" w:after="120"/>
              <w:jc w:val="center"/>
              <w:rPr>
                <w:highlight w:val="yellow"/>
              </w:rPr>
            </w:pPr>
            <w:r>
              <w:rPr>
                <w:highlight w:val="yellow"/>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90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1.1-F</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 xml:space="preserve">Opération 1 : </w:t>
            </w:r>
            <w:r>
              <w:rPr>
                <w:rFonts w:ascii="Marianne" w:hAnsi="Marianne"/>
                <w:color w:val="C9211E"/>
              </w:rPr>
              <w:t>Suppression des radiers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b w:val="false"/>
                <w:b w:val="false"/>
              </w:rPr>
            </w:pPr>
            <w:r>
              <w:rPr>
                <w:rFonts w:ascii="Arial Narrow" w:hAnsi="Arial Narrow"/>
              </w:rPr>
              <w:t>FT</w:t>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884"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1.1-C</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 xml:space="preserve">Opération 2 : </w:t>
            </w:r>
            <w:r>
              <w:rPr>
                <w:rFonts w:ascii="Marianne" w:hAnsi="Marianne"/>
                <w:color w:val="C9211E"/>
              </w:rPr>
              <w:t>Suppression des canaux bichiques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b w:val="false"/>
                <w:b w:val="false"/>
              </w:rPr>
            </w:pPr>
            <w:r>
              <w:rPr>
                <w:rFonts w:ascii="Arial Narrow" w:hAnsi="Arial Narrow"/>
              </w:rPr>
              <w:t>FT</w:t>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1135"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10"/>
              </w:rPr>
            </w:pPr>
            <w:r>
              <w:rPr>
                <w:rFonts w:ascii="Arial Narrow" w:hAnsi="Arial Narrow"/>
                <w:b/>
                <w:bCs/>
                <w:sz w:val="10"/>
              </w:rPr>
            </w:r>
          </w:p>
          <w:p>
            <w:pPr>
              <w:pStyle w:val="Normal"/>
              <w:widowControl w:val="false"/>
              <w:tabs>
                <w:tab w:val="clear" w:pos="6804"/>
              </w:tabs>
              <w:spacing w:before="0" w:after="0"/>
              <w:jc w:val="center"/>
              <w:rPr>
                <w:b/>
                <w:b/>
                <w:bCs/>
              </w:rPr>
            </w:pPr>
            <w:r>
              <w:rPr>
                <w:rFonts w:ascii="Arial Narrow" w:hAnsi="Arial Narrow"/>
                <w:b/>
                <w:bCs/>
              </w:rPr>
              <w:t>1.2</w:t>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rPr>
            </w:pPr>
            <w:r>
              <w:rPr>
                <w:rFonts w:ascii="Arial Narrow" w:hAnsi="Arial Narrow"/>
              </w:rPr>
            </w:r>
          </w:p>
          <w:p>
            <w:pPr>
              <w:pStyle w:val="Normal"/>
              <w:widowControl w:val="false"/>
              <w:tabs>
                <w:tab w:val="clear" w:pos="6804"/>
              </w:tabs>
              <w:spacing w:before="0" w:after="0"/>
              <w:rPr>
                <w:rFonts w:ascii="Arial Narrow" w:hAnsi="Arial Narrow"/>
                <w:b/>
                <w:b/>
                <w:bCs/>
                <w:highlight w:val="yellow"/>
              </w:rPr>
            </w:pPr>
            <w:r>
              <w:rPr>
                <w:rFonts w:ascii="Arial Narrow" w:hAnsi="Arial Narrow"/>
                <w:b/>
                <w:bCs/>
                <w:highlight w:val="yellow"/>
              </w:rPr>
            </w:r>
          </w:p>
        </w:tc>
        <w:tc>
          <w:tcPr>
            <w:tcW w:w="9866" w:type="dxa"/>
            <w:gridSpan w:val="2"/>
            <w:tcBorders>
              <w:top w:val="double" w:sz="4" w:space="0" w:color="000000"/>
              <w:bottom w:val="double" w:sz="4" w:space="0" w:color="000000"/>
              <w:right w:val="single" w:sz="4" w:space="0" w:color="000000"/>
            </w:tcBorders>
            <w:vAlign w:val="center"/>
          </w:tcPr>
          <w:p>
            <w:pPr>
              <w:pStyle w:val="Titre1"/>
              <w:widowControl w:val="false"/>
              <w:tabs>
                <w:tab w:val="clear" w:pos="6804"/>
              </w:tabs>
              <w:spacing w:before="120" w:after="120"/>
              <w:rPr>
                <w:rFonts w:ascii="Arial Narrow" w:hAnsi="Arial Narrow"/>
                <w:caps/>
              </w:rPr>
            </w:pPr>
            <w:r>
              <w:rPr>
                <w:rFonts w:ascii="Arial Narrow" w:hAnsi="Arial Narrow"/>
                <w:caps/>
              </w:rPr>
              <w:t>INSTALLATION ET REPLIEMENT DE CHANTIER</w:t>
            </w:r>
          </w:p>
          <w:p>
            <w:pPr>
              <w:pStyle w:val="Normal"/>
              <w:widowControl w:val="false"/>
              <w:rPr>
                <w:rFonts w:ascii="Arial Narrow" w:hAnsi="Arial Narrow"/>
              </w:rPr>
            </w:pPr>
            <w:r>
              <w:rPr>
                <w:rFonts w:ascii="Arial Narrow" w:hAnsi="Arial Narrow"/>
              </w:rPr>
              <w:t xml:space="preserve">Ce prix rémunère au forfait, </w:t>
            </w:r>
            <w:r>
              <w:rPr>
                <w:rFonts w:cs="Arial" w:ascii="Arial Narrow" w:hAnsi="Arial Narrow"/>
              </w:rPr>
              <w:t>l'ensemble des prestations concernant la préparation et l’installation de chantier.</w:t>
            </w:r>
          </w:p>
          <w:p>
            <w:pPr>
              <w:pStyle w:val="Normal"/>
              <w:widowControl w:val="false"/>
              <w:rPr>
                <w:rFonts w:ascii="Arial Narrow" w:hAnsi="Arial Narrow"/>
                <w:sz w:val="16"/>
                <w:szCs w:val="16"/>
              </w:rPr>
            </w:pPr>
            <w:r>
              <w:rPr>
                <w:rFonts w:ascii="Arial Narrow" w:hAnsi="Arial Narrow"/>
              </w:rPr>
              <w:t>Il comprend :</w:t>
            </w:r>
          </w:p>
          <w:p>
            <w:pPr>
              <w:pStyle w:val="Normal"/>
              <w:widowControl w:val="false"/>
              <w:rPr>
                <w:rFonts w:ascii="Arial Narrow" w:hAnsi="Arial Narrow"/>
              </w:rPr>
            </w:pPr>
            <w:r>
              <w:rPr>
                <w:rFonts w:cs="Arial" w:ascii="Arial Narrow" w:hAnsi="Arial Narrow"/>
                <w:b/>
                <w:bCs/>
                <w:i/>
                <w:iCs/>
              </w:rPr>
              <w:t>1/ L'installation de chantier comprenant :</w:t>
            </w:r>
          </w:p>
          <w:p>
            <w:pPr>
              <w:pStyle w:val="ListParagraph"/>
              <w:widowControl w:val="false"/>
              <w:numPr>
                <w:ilvl w:val="0"/>
                <w:numId w:val="2"/>
              </w:numPr>
              <w:rPr>
                <w:rFonts w:ascii="Arial Narrow" w:hAnsi="Arial Narrow" w:cs="Arial"/>
              </w:rPr>
            </w:pPr>
            <w:r>
              <w:rPr>
                <w:rFonts w:cs="Arial" w:ascii="Arial Narrow" w:hAnsi="Arial Narrow"/>
              </w:rPr>
              <w:t>les opérations topographiques générales (piquetage des emprises...) ainsi que leur maintenance,</w:t>
            </w:r>
          </w:p>
          <w:p>
            <w:pPr>
              <w:pStyle w:val="ListParagraph"/>
              <w:widowControl w:val="false"/>
              <w:numPr>
                <w:ilvl w:val="0"/>
                <w:numId w:val="2"/>
              </w:numPr>
              <w:rPr>
                <w:rFonts w:ascii="Arial Narrow" w:hAnsi="Arial Narrow" w:cs="Arial"/>
              </w:rPr>
            </w:pPr>
            <w:r>
              <w:rPr>
                <w:rFonts w:cs="Arial" w:ascii="Arial Narrow" w:hAnsi="Arial Narrow"/>
              </w:rPr>
              <w:t>les aménagements de terrain, les fournitures et amenées, les frais d'installation des baraques de chantier,</w:t>
            </w:r>
          </w:p>
          <w:p>
            <w:pPr>
              <w:pStyle w:val="ListParagraph"/>
              <w:widowControl w:val="false"/>
              <w:numPr>
                <w:ilvl w:val="0"/>
                <w:numId w:val="2"/>
              </w:numPr>
              <w:rPr>
                <w:rFonts w:ascii="Arial Narrow" w:hAnsi="Arial Narrow" w:cs="Arial"/>
              </w:rPr>
            </w:pPr>
            <w:r>
              <w:rPr>
                <w:rFonts w:cs="Arial" w:ascii="Arial Narrow" w:hAnsi="Arial Narrow"/>
              </w:rPr>
              <w:t>l'amenée de la basse tension sur le chantier pour alimenter l'éclairage éventuel et la signalisation lumineuse temporaire,</w:t>
            </w:r>
          </w:p>
          <w:p>
            <w:pPr>
              <w:pStyle w:val="ListParagraph"/>
              <w:widowControl w:val="false"/>
              <w:numPr>
                <w:ilvl w:val="0"/>
                <w:numId w:val="2"/>
              </w:numPr>
              <w:rPr>
                <w:rFonts w:ascii="Arial Narrow" w:hAnsi="Arial Narrow" w:cs="Arial"/>
              </w:rPr>
            </w:pPr>
            <w:r>
              <w:rPr>
                <w:rFonts w:cs="Arial" w:ascii="Arial Narrow" w:hAnsi="Arial Narrow"/>
              </w:rPr>
              <w:t>les installations assurant l'hygiène et la sécurité, y compris les dépenses liées aux procédures et moyens d'hygiène  et de sécurité pendant les travaux,</w:t>
            </w:r>
          </w:p>
          <w:p>
            <w:pPr>
              <w:pStyle w:val="ListParagraph"/>
              <w:widowControl w:val="false"/>
              <w:numPr>
                <w:ilvl w:val="0"/>
                <w:numId w:val="2"/>
              </w:numPr>
              <w:rPr>
                <w:rFonts w:ascii="Arial Narrow" w:hAnsi="Arial Narrow" w:cs="Arial"/>
              </w:rPr>
            </w:pPr>
            <w:r>
              <w:rPr>
                <w:rFonts w:cs="Arial" w:ascii="Arial Narrow" w:hAnsi="Arial Narrow"/>
              </w:rPr>
              <w:t>les dépenses liées aux abonnements divers et aux consommations (eau, électricité et téléphone),</w:t>
            </w:r>
          </w:p>
          <w:p>
            <w:pPr>
              <w:pStyle w:val="ListParagraph"/>
              <w:widowControl w:val="false"/>
              <w:numPr>
                <w:ilvl w:val="0"/>
                <w:numId w:val="2"/>
              </w:numPr>
              <w:rPr>
                <w:rFonts w:ascii="Arial Narrow" w:hAnsi="Arial Narrow" w:cs="Arial"/>
              </w:rPr>
            </w:pPr>
            <w:r>
              <w:rPr>
                <w:rFonts w:cs="Arial" w:ascii="Arial Narrow" w:hAnsi="Arial Narrow"/>
              </w:rPr>
              <w:t>l'amenée et le repliement des matériaux, déchets et du matériel nécessaire à l'ensemble des travaux,</w:t>
            </w:r>
          </w:p>
          <w:p>
            <w:pPr>
              <w:pStyle w:val="ListParagraph"/>
              <w:widowControl w:val="false"/>
              <w:numPr>
                <w:ilvl w:val="0"/>
                <w:numId w:val="2"/>
              </w:numPr>
              <w:rPr>
                <w:rFonts w:ascii="Arial Narrow" w:hAnsi="Arial Narrow" w:cs="Arial"/>
              </w:rPr>
            </w:pPr>
            <w:r>
              <w:rPr>
                <w:rFonts w:cs="Arial" w:ascii="Arial Narrow" w:hAnsi="Arial Narrow"/>
              </w:rPr>
              <w:t>les frais de gardiennage et de maintenance,</w:t>
            </w:r>
          </w:p>
          <w:p>
            <w:pPr>
              <w:pStyle w:val="ListParagraph"/>
              <w:widowControl w:val="false"/>
              <w:numPr>
                <w:ilvl w:val="0"/>
                <w:numId w:val="2"/>
              </w:numPr>
              <w:rPr>
                <w:rFonts w:ascii="Arial Narrow" w:hAnsi="Arial Narrow" w:cs="Arial"/>
              </w:rPr>
            </w:pPr>
            <w:r>
              <w:rPr>
                <w:rFonts w:cs="Arial" w:ascii="Arial Narrow" w:hAnsi="Arial Narrow"/>
              </w:rPr>
              <w:t>la signalisation du chantier et des voies publiques,</w:t>
            </w:r>
          </w:p>
          <w:p>
            <w:pPr>
              <w:pStyle w:val="ListParagraph"/>
              <w:widowControl w:val="false"/>
              <w:numPr>
                <w:ilvl w:val="0"/>
                <w:numId w:val="2"/>
              </w:numPr>
              <w:rPr>
                <w:rFonts w:ascii="Arial Narrow" w:hAnsi="Arial Narrow" w:cs="Arial"/>
              </w:rPr>
            </w:pPr>
            <w:r>
              <w:rPr>
                <w:rFonts w:cs="Arial" w:ascii="Arial Narrow" w:hAnsi="Arial Narrow"/>
              </w:rPr>
              <w:t>la confection de clôtures fixes et mobiles,</w:t>
            </w:r>
          </w:p>
          <w:p>
            <w:pPr>
              <w:pStyle w:val="ListParagraph"/>
              <w:widowControl w:val="false"/>
              <w:numPr>
                <w:ilvl w:val="0"/>
                <w:numId w:val="2"/>
              </w:numPr>
              <w:rPr>
                <w:rFonts w:ascii="Arial Narrow" w:hAnsi="Arial Narrow" w:cs="Arial"/>
              </w:rPr>
            </w:pPr>
            <w:r>
              <w:rPr>
                <w:rFonts w:cs="Arial" w:ascii="Arial Narrow" w:hAnsi="Arial Narrow"/>
              </w:rPr>
              <w:t>les indemnités éventuelles pour les préjudices causés par les travaux,</w:t>
            </w:r>
          </w:p>
          <w:p>
            <w:pPr>
              <w:pStyle w:val="ListParagraph"/>
              <w:widowControl w:val="false"/>
              <w:numPr>
                <w:ilvl w:val="0"/>
                <w:numId w:val="2"/>
              </w:numPr>
              <w:rPr>
                <w:rFonts w:ascii="Arial Narrow" w:hAnsi="Arial Narrow" w:cs="Arial"/>
              </w:rPr>
            </w:pPr>
            <w:r>
              <w:rPr>
                <w:rFonts w:cs="Arial" w:ascii="Arial Narrow" w:hAnsi="Arial Narrow"/>
              </w:rPr>
              <w:t>L’entreposage de bennes de tri des déchets avec transmission des bordereaux de suivi des déchets</w:t>
            </w:r>
          </w:p>
          <w:p>
            <w:pPr>
              <w:pStyle w:val="ListParagraph"/>
              <w:widowControl w:val="false"/>
              <w:numPr>
                <w:ilvl w:val="0"/>
                <w:numId w:val="2"/>
              </w:numPr>
              <w:rPr>
                <w:rFonts w:ascii="Arial Narrow" w:hAnsi="Arial Narrow" w:cs="Arial"/>
              </w:rPr>
            </w:pPr>
            <w:r>
              <w:rPr>
                <w:rFonts w:cs="Arial" w:ascii="Arial Narrow" w:hAnsi="Arial Narrow"/>
              </w:rPr>
              <w:t>Les travaux de débroussaillage si nécessaire et évacuation des déchets verts en filières agrées,</w:t>
            </w:r>
          </w:p>
          <w:p>
            <w:pPr>
              <w:pStyle w:val="ListParagraph"/>
              <w:widowControl w:val="false"/>
              <w:numPr>
                <w:ilvl w:val="0"/>
                <w:numId w:val="2"/>
              </w:numPr>
              <w:rPr>
                <w:rFonts w:ascii="Arial Narrow" w:hAnsi="Arial Narrow" w:cs="Arial"/>
              </w:rPr>
            </w:pPr>
            <w:r>
              <w:rPr>
                <w:rFonts w:cs="Arial" w:ascii="Arial Narrow" w:hAnsi="Arial Narrow"/>
              </w:rPr>
              <w:t>la construction et l’entretien des accès du chantier,</w:t>
            </w:r>
          </w:p>
          <w:p>
            <w:pPr>
              <w:pStyle w:val="ListParagraph"/>
              <w:widowControl w:val="false"/>
              <w:numPr>
                <w:ilvl w:val="0"/>
                <w:numId w:val="2"/>
              </w:numPr>
              <w:rPr>
                <w:rFonts w:ascii="Arial Narrow" w:hAnsi="Arial Narrow" w:cs="Arial"/>
              </w:rPr>
            </w:pPr>
            <w:r>
              <w:rPr>
                <w:rFonts w:cs="Arial" w:ascii="Arial Narrow" w:hAnsi="Arial Narrow"/>
              </w:rPr>
              <w:t>Le nettoyage et la remise en état des lieux en fin de chantier</w:t>
            </w:r>
          </w:p>
          <w:p>
            <w:pPr>
              <w:pStyle w:val="Normal"/>
              <w:widowControl w:val="false"/>
              <w:rPr>
                <w:rFonts w:ascii="Arial Narrow" w:hAnsi="Arial Narrow" w:cs="Arial"/>
                <w:b/>
                <w:b/>
                <w:bCs/>
                <w:i/>
                <w:i/>
                <w:iCs/>
              </w:rPr>
            </w:pPr>
            <w:r>
              <w:rPr>
                <w:rFonts w:cs="Arial" w:ascii="Arial Narrow" w:hAnsi="Arial Narrow"/>
                <w:b/>
                <w:bCs/>
                <w:i/>
                <w:iCs/>
              </w:rPr>
              <w:t>2/ La fourniture et la pose de deux panneaux de chantier de dimensions h : 2.00m x L : 1,50m comprenant :</w:t>
            </w:r>
          </w:p>
          <w:p>
            <w:pPr>
              <w:pStyle w:val="ListParagraph"/>
              <w:widowControl w:val="false"/>
              <w:numPr>
                <w:ilvl w:val="0"/>
                <w:numId w:val="2"/>
              </w:numPr>
              <w:rPr>
                <w:rFonts w:ascii="Arial Narrow" w:hAnsi="Arial Narrow" w:cs="Arial"/>
                <w:bCs/>
                <w:iCs/>
              </w:rPr>
            </w:pPr>
            <w:r>
              <w:rPr>
                <w:rFonts w:cs="Arial" w:ascii="Arial Narrow" w:hAnsi="Arial Narrow"/>
              </w:rPr>
              <w:t>La fabrication du panneau et des supports et des massifs d'ancrage,</w:t>
            </w:r>
          </w:p>
          <w:p>
            <w:pPr>
              <w:pStyle w:val="ListParagraph"/>
              <w:widowControl w:val="false"/>
              <w:numPr>
                <w:ilvl w:val="0"/>
                <w:numId w:val="2"/>
              </w:numPr>
              <w:rPr>
                <w:rFonts w:ascii="Arial Narrow" w:hAnsi="Arial Narrow" w:cs="Arial"/>
                <w:bCs/>
                <w:iCs/>
              </w:rPr>
            </w:pPr>
            <w:r>
              <w:rPr>
                <w:rFonts w:cs="Arial" w:ascii="Arial Narrow" w:hAnsi="Arial Narrow"/>
              </w:rPr>
              <w:t>La réalisation des massifs d'ancrage en béton,</w:t>
            </w:r>
          </w:p>
          <w:p>
            <w:pPr>
              <w:pStyle w:val="ListParagraph"/>
              <w:widowControl w:val="false"/>
              <w:numPr>
                <w:ilvl w:val="0"/>
                <w:numId w:val="2"/>
              </w:numPr>
              <w:rPr>
                <w:rFonts w:ascii="Arial Narrow" w:hAnsi="Arial Narrow" w:cs="Arial"/>
                <w:bCs/>
                <w:iCs/>
              </w:rPr>
            </w:pPr>
            <w:r>
              <w:rPr>
                <w:rFonts w:cs="Arial" w:ascii="Arial Narrow" w:hAnsi="Arial Narrow"/>
              </w:rPr>
              <w:t>L'amenée depuis le lieu de fabrication, le déchargement à pied d'œuvre,</w:t>
            </w:r>
          </w:p>
          <w:p>
            <w:pPr>
              <w:pStyle w:val="ListParagraph"/>
              <w:widowControl w:val="false"/>
              <w:numPr>
                <w:ilvl w:val="0"/>
                <w:numId w:val="2"/>
              </w:numPr>
              <w:rPr>
                <w:rFonts w:ascii="Arial Narrow" w:hAnsi="Arial Narrow" w:cs="Arial"/>
                <w:bCs/>
                <w:iCs/>
              </w:rPr>
            </w:pPr>
            <w:r>
              <w:rPr>
                <w:rFonts w:cs="Arial" w:ascii="Arial Narrow" w:hAnsi="Arial Narrow"/>
              </w:rPr>
              <w:t>La pose le réglage et la fixation,</w:t>
            </w:r>
          </w:p>
          <w:p>
            <w:pPr>
              <w:pStyle w:val="ListParagraph"/>
              <w:widowControl w:val="false"/>
              <w:numPr>
                <w:ilvl w:val="0"/>
                <w:numId w:val="2"/>
              </w:numPr>
              <w:rPr>
                <w:rFonts w:ascii="Arial Narrow" w:hAnsi="Arial Narrow" w:cs="Arial"/>
                <w:bCs/>
                <w:iCs/>
              </w:rPr>
            </w:pPr>
            <w:r>
              <w:rPr>
                <w:rFonts w:cs="Arial" w:ascii="Arial Narrow" w:hAnsi="Arial Narrow"/>
                <w:bCs/>
                <w:iCs/>
              </w:rPr>
              <w:t xml:space="preserve">Les éventuelles modifications à apporter. </w:t>
            </w:r>
          </w:p>
          <w:p>
            <w:pPr>
              <w:pStyle w:val="ListParagraph"/>
              <w:widowControl w:val="false"/>
              <w:numPr>
                <w:ilvl w:val="0"/>
                <w:numId w:val="2"/>
              </w:numPr>
              <w:rPr>
                <w:rFonts w:ascii="Arial Narrow" w:hAnsi="Arial Narrow" w:cs="Arial"/>
                <w:bCs/>
                <w:iCs/>
              </w:rPr>
            </w:pPr>
            <w:r>
              <w:rPr>
                <w:rFonts w:cs="Arial" w:ascii="Arial Narrow" w:hAnsi="Arial Narrow"/>
              </w:rPr>
              <w:t>Le démontage et l'évacuation en fin de chantier,</w:t>
            </w:r>
          </w:p>
          <w:p>
            <w:pPr>
              <w:pStyle w:val="Normal"/>
              <w:widowControl w:val="false"/>
              <w:rPr>
                <w:rFonts w:ascii="Arial Narrow" w:hAnsi="Arial Narrow" w:cs="Arial"/>
                <w:b/>
                <w:b/>
                <w:bCs/>
              </w:rPr>
            </w:pPr>
            <w:r>
              <w:rPr>
                <w:rFonts w:cs="Arial" w:ascii="Arial Narrow" w:hAnsi="Arial Narrow"/>
                <w:b/>
              </w:rPr>
              <w:t>NB :</w:t>
            </w:r>
            <w:r>
              <w:rPr>
                <w:rFonts w:cs="Arial" w:ascii="Arial Narrow" w:hAnsi="Arial Narrow"/>
                <w:b/>
                <w:bCs/>
              </w:rPr>
              <w:t xml:space="preserve"> La pose du panneau se fera dans un délai maximum d'une semaine après la fourniture de la maquette par l’entreprise avec avis du maître d’œuvre et validation du maître d’ouvrage.</w:t>
            </w:r>
          </w:p>
          <w:p>
            <w:pPr>
              <w:pStyle w:val="Normal"/>
              <w:widowControl w:val="false"/>
              <w:rPr>
                <w:rFonts w:ascii="Arial Narrow" w:hAnsi="Arial Narrow" w:cs="Arial"/>
              </w:rPr>
            </w:pPr>
            <w:r>
              <w:rPr>
                <w:rFonts w:cs="Arial" w:ascii="Arial Narrow" w:hAnsi="Arial Narrow"/>
              </w:rPr>
              <w:t>Ce prix sera rémunéré en 2 phases :</w:t>
            </w:r>
          </w:p>
          <w:p>
            <w:pPr>
              <w:pStyle w:val="ListParagraph"/>
              <w:widowControl w:val="false"/>
              <w:numPr>
                <w:ilvl w:val="0"/>
                <w:numId w:val="2"/>
              </w:numPr>
              <w:rPr>
                <w:rFonts w:ascii="Arial Narrow" w:hAnsi="Arial Narrow" w:cs="Arial"/>
              </w:rPr>
            </w:pPr>
            <w:r>
              <w:rPr>
                <w:rFonts w:cs="Arial" w:ascii="Arial Narrow" w:hAnsi="Arial Narrow"/>
              </w:rPr>
              <w:t>A hauteur de 70% à l’installation de la base vie</w:t>
            </w:r>
          </w:p>
          <w:p>
            <w:pPr>
              <w:pStyle w:val="ListParagraph"/>
              <w:widowControl w:val="false"/>
              <w:numPr>
                <w:ilvl w:val="0"/>
                <w:numId w:val="2"/>
              </w:numPr>
              <w:spacing w:before="40" w:after="40"/>
              <w:contextualSpacing/>
              <w:rPr>
                <w:rFonts w:ascii="Arial Narrow" w:hAnsi="Arial Narrow"/>
              </w:rPr>
            </w:pPr>
            <w:r>
              <w:rPr>
                <w:rFonts w:cs="Arial" w:ascii="Arial Narrow" w:hAnsi="Arial Narrow"/>
              </w:rPr>
              <w:t>Versement du solde au repli de l’installation et à la remise en état du site.</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Normal"/>
              <w:widowControl w:val="false"/>
              <w:tabs>
                <w:tab w:val="clear" w:pos="6804"/>
              </w:tabs>
              <w:spacing w:before="0" w:after="0"/>
              <w:jc w:val="center"/>
              <w:rPr>
                <w:highlight w:val="yellow"/>
              </w:rPr>
            </w:pPr>
            <w:r>
              <w:rPr>
                <w:highlight w:val="yellow"/>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973"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1.2-F</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 xml:space="preserve">Opération 1  </w:t>
            </w:r>
            <w:r>
              <w:rPr>
                <w:rFonts w:ascii="Marianne" w:hAnsi="Marianne"/>
                <w:color w:val="C9211E"/>
              </w:rPr>
              <w:t>Suppression des radiers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1152"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1.2-C</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rFonts w:ascii="Arial Narrow" w:hAnsi="Arial Narrow"/>
              </w:rPr>
            </w:pPr>
            <w:r>
              <w:rPr>
                <w:rFonts w:ascii="Arial Narrow" w:hAnsi="Arial Narrow"/>
                <w:color w:val="C9211E"/>
              </w:rPr>
              <w:t>Opération 2</w:t>
            </w:r>
            <w:r>
              <w:rPr>
                <w:rFonts w:ascii="Arial Narrow" w:hAnsi="Arial Narrow"/>
              </w:rPr>
              <w:t xml:space="preserve"> (si les opérations ne s’enchainent pas) : </w:t>
            </w:r>
            <w:r>
              <w:rPr>
                <w:rFonts w:ascii="Marianne" w:hAnsi="Marianne"/>
                <w:color w:val="C9211E"/>
              </w:rPr>
              <w:t>Suppression des canaux bichiques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485"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bCs/>
              </w:rPr>
            </w:pPr>
            <w:r>
              <w:rPr>
                <w:rFonts w:ascii="Arial Narrow" w:hAnsi="Arial Narrow"/>
                <w:b/>
                <w:bCs/>
              </w:rPr>
              <w:t>1.3</w:t>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rFonts w:ascii="Arial Narrow" w:hAnsi="Arial Narrow"/>
                <w:caps/>
              </w:rPr>
            </w:pPr>
            <w:r>
              <w:rPr>
                <w:rFonts w:ascii="Arial Narrow" w:hAnsi="Arial Narrow"/>
                <w:caps/>
              </w:rPr>
              <w:t>Implantation des ouvrages et piquetage</w:t>
            </w:r>
          </w:p>
          <w:p>
            <w:pPr>
              <w:pStyle w:val="Normal"/>
              <w:widowControl w:val="false"/>
              <w:rPr>
                <w:rFonts w:ascii="Arial Narrow" w:hAnsi="Arial Narrow" w:cs="Arial"/>
              </w:rPr>
            </w:pPr>
            <w:r>
              <w:rPr>
                <w:rFonts w:cs="Arial" w:ascii="Arial Narrow" w:hAnsi="Arial Narrow"/>
              </w:rPr>
              <w:t>Ce prix rémunère au forfait, l’ensemble des travaux d’implantation et de piquetage des travaux de terrassements et des ouvrages concernés tels que l’ouvrage projeté de protection ou encore les aménagements de berges.</w:t>
            </w:r>
          </w:p>
          <w:p>
            <w:pPr>
              <w:pStyle w:val="Normal"/>
              <w:widowControl w:val="false"/>
              <w:rPr>
                <w:rFonts w:ascii="Arial Narrow" w:hAnsi="Arial Narrow" w:cs="Arial"/>
              </w:rPr>
            </w:pPr>
            <w:r>
              <w:rPr>
                <w:rFonts w:cs="Arial"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l’implantation des ouvrages conformément aux plans d’exécution ;</w:t>
            </w:r>
          </w:p>
          <w:p>
            <w:pPr>
              <w:pStyle w:val="ListParagraph"/>
              <w:widowControl w:val="false"/>
              <w:numPr>
                <w:ilvl w:val="0"/>
                <w:numId w:val="2"/>
              </w:numPr>
              <w:rPr>
                <w:rFonts w:ascii="Arial Narrow" w:hAnsi="Arial Narrow" w:cs="Arial"/>
              </w:rPr>
            </w:pPr>
            <w:r>
              <w:rPr>
                <w:rFonts w:cs="Arial" w:ascii="Arial Narrow" w:hAnsi="Arial Narrow"/>
              </w:rPr>
              <w:t>les études topographiques complémentaires nécessaires à la bonne implantation des ouvrages ;</w:t>
            </w:r>
          </w:p>
          <w:p>
            <w:pPr>
              <w:pStyle w:val="ListParagraph"/>
              <w:widowControl w:val="false"/>
              <w:numPr>
                <w:ilvl w:val="0"/>
                <w:numId w:val="2"/>
              </w:numPr>
              <w:rPr>
                <w:rFonts w:ascii="Arial Narrow" w:hAnsi="Arial Narrow" w:cs="Arial"/>
              </w:rPr>
            </w:pPr>
            <w:r>
              <w:rPr>
                <w:rFonts w:cs="Arial" w:ascii="Arial Narrow" w:hAnsi="Arial Narrow"/>
              </w:rPr>
              <w:t>la mise en œuvre des piquetages et leur entretien pendant l’ensemble des phases travaux ;</w:t>
            </w:r>
          </w:p>
          <w:p>
            <w:pPr>
              <w:pStyle w:val="ListParagraph"/>
              <w:widowControl w:val="false"/>
              <w:numPr>
                <w:ilvl w:val="0"/>
                <w:numId w:val="2"/>
              </w:numPr>
              <w:rPr>
                <w:rFonts w:ascii="Arial Narrow" w:hAnsi="Arial Narrow" w:cs="Arial"/>
              </w:rPr>
            </w:pPr>
            <w:r>
              <w:rPr>
                <w:rFonts w:cs="Arial" w:ascii="Arial Narrow" w:hAnsi="Arial Narrow"/>
              </w:rPr>
              <w:t>l’ensemble des relevés nécessaires pour l’établissement des plans de récolement ultérieurs ;</w:t>
            </w:r>
          </w:p>
          <w:p>
            <w:pPr>
              <w:pStyle w:val="ListParagraph"/>
              <w:widowControl w:val="false"/>
              <w:numPr>
                <w:ilvl w:val="0"/>
                <w:numId w:val="2"/>
              </w:numPr>
              <w:spacing w:before="40" w:after="40"/>
              <w:contextualSpacing/>
              <w:rPr>
                <w:rFonts w:ascii="Arial Narrow" w:hAnsi="Arial Narrow" w:cs="Arial"/>
              </w:rPr>
            </w:pPr>
            <w:r>
              <w:rPr>
                <w:rFonts w:cs="Arial" w:ascii="Arial Narrow" w:hAnsi="Arial Narrow"/>
              </w:rPr>
              <w:t>y compris toutes sujétions de l’entreprise.</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1.3-F</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 xml:space="preserve">Opération 1 : </w:t>
            </w:r>
            <w:r>
              <w:rPr>
                <w:rFonts w:ascii="Marianne" w:hAnsi="Marianne"/>
                <w:color w:val="C9211E"/>
              </w:rPr>
              <w:t>Suppression des radiers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1.3-C</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 xml:space="preserve">Opération 2 : </w:t>
            </w:r>
            <w:r>
              <w:rPr>
                <w:rFonts w:ascii="Marianne" w:hAnsi="Marianne"/>
                <w:color w:val="C9211E"/>
              </w:rPr>
              <w:t>Suppression des canaux bichiques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bCs/>
              </w:rPr>
            </w:pPr>
            <w:r>
              <w:rPr>
                <w:rFonts w:ascii="Arial Narrow" w:hAnsi="Arial Narrow"/>
                <w:b/>
                <w:bCs/>
              </w:rPr>
              <w:t>1.4</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rFonts w:ascii="Arial Narrow" w:hAnsi="Arial Narrow"/>
                <w:caps/>
              </w:rPr>
            </w:pPr>
            <w:r>
              <w:rPr>
                <w:rFonts w:ascii="Arial Narrow" w:hAnsi="Arial Narrow"/>
                <w:caps/>
              </w:rPr>
              <w:t>debroussaillage</w:t>
            </w:r>
          </w:p>
          <w:p>
            <w:pPr>
              <w:pStyle w:val="Normal"/>
              <w:widowControl w:val="false"/>
              <w:rPr>
                <w:rFonts w:ascii="Arial Narrow" w:hAnsi="Arial Narrow" w:cs="Arial"/>
              </w:rPr>
            </w:pPr>
            <w:r>
              <w:rPr>
                <w:rFonts w:cs="Arial" w:ascii="Arial Narrow" w:hAnsi="Arial Narrow"/>
              </w:rPr>
              <w:t>Ce prix rémunère au mètre carré le débroussaillage ou fauchage qui sera réalisé mécaniquement ou manuellement dans toutes les zones le permettant pour des engins autoportés ou avec les bras</w:t>
            </w:r>
            <w:r>
              <w:rPr>
                <w:rFonts w:cs="Cambria Math" w:ascii="Cambria Math" w:hAnsi="Cambria Math"/>
              </w:rPr>
              <w:t>‐</w:t>
            </w:r>
            <w:r>
              <w:rPr>
                <w:rFonts w:cs="Arial" w:ascii="Arial Narrow" w:hAnsi="Arial Narrow"/>
              </w:rPr>
              <w:t>déportés et validés avec le MOE.</w:t>
            </w:r>
          </w:p>
          <w:p>
            <w:pPr>
              <w:pStyle w:val="Normal"/>
              <w:widowControl w:val="false"/>
              <w:rPr>
                <w:rFonts w:ascii="Arial Narrow" w:hAnsi="Arial Narrow" w:cs="Arial"/>
              </w:rPr>
            </w:pPr>
            <w:r>
              <w:rPr>
                <w:rFonts w:cs="Arial" w:ascii="Arial Narrow" w:hAnsi="Arial Narrow"/>
              </w:rPr>
              <w:t>Il comprend notamment :</w:t>
            </w:r>
          </w:p>
          <w:p>
            <w:pPr>
              <w:pStyle w:val="ListParagraph"/>
              <w:widowControl w:val="false"/>
              <w:numPr>
                <w:ilvl w:val="0"/>
                <w:numId w:val="2"/>
              </w:numPr>
              <w:rPr>
                <w:rFonts w:ascii="Arial Narrow" w:hAnsi="Arial Narrow" w:cs="Arial"/>
              </w:rPr>
            </w:pPr>
            <w:r>
              <w:rPr>
                <w:rFonts w:cs="Arial" w:ascii="Arial Narrow" w:hAnsi="Arial Narrow"/>
              </w:rPr>
              <w:t>toutes les fournitures, matériels, moyens mécaniques et humains pour réaliser cette prestation conforme aux prescriptions du CCTP ainsi qu'aux normes et fascicules en vigueur;</w:t>
            </w:r>
          </w:p>
          <w:p>
            <w:pPr>
              <w:pStyle w:val="ListParagraph"/>
              <w:widowControl w:val="false"/>
              <w:numPr>
                <w:ilvl w:val="0"/>
                <w:numId w:val="2"/>
              </w:numPr>
              <w:rPr>
                <w:rFonts w:ascii="Arial Narrow" w:hAnsi="Arial Narrow" w:cs="Arial"/>
              </w:rPr>
            </w:pPr>
            <w:r>
              <w:rPr>
                <w:rFonts w:cs="Arial" w:ascii="Arial Narrow" w:hAnsi="Arial Narrow"/>
              </w:rPr>
              <w:t>l'amenée, la mobilisation et le repli des engins mécaniques adaptés (et même spécifiques : bras</w:t>
            </w:r>
            <w:r>
              <w:rPr>
                <w:rFonts w:cs="Cambria Math" w:ascii="Cambria Math" w:hAnsi="Cambria Math"/>
              </w:rPr>
              <w:t>‐</w:t>
            </w:r>
            <w:r>
              <w:rPr>
                <w:rFonts w:cs="Arial" w:ascii="Arial Narrow" w:hAnsi="Arial Narrow"/>
              </w:rPr>
              <w:t>déportés, long bras, etc.) en état de fonctionnement et à jour de leur révision;</w:t>
            </w:r>
          </w:p>
          <w:p>
            <w:pPr>
              <w:pStyle w:val="ListParagraph"/>
              <w:widowControl w:val="false"/>
              <w:numPr>
                <w:ilvl w:val="0"/>
                <w:numId w:val="2"/>
              </w:numPr>
              <w:rPr>
                <w:rFonts w:ascii="Arial Narrow" w:hAnsi="Arial Narrow" w:cs="Arial"/>
              </w:rPr>
            </w:pPr>
            <w:r>
              <w:rPr>
                <w:rFonts w:cs="Arial" w:ascii="Arial Narrow" w:hAnsi="Arial Narrow"/>
              </w:rPr>
              <w:t>tous les moyens humains et d'encadrement dont le nombre sera adapté à la prestation ainsi qu'à la sécurité;</w:t>
            </w:r>
          </w:p>
          <w:p>
            <w:pPr>
              <w:pStyle w:val="ListParagraph"/>
              <w:widowControl w:val="false"/>
              <w:numPr>
                <w:ilvl w:val="0"/>
                <w:numId w:val="2"/>
              </w:numPr>
              <w:rPr>
                <w:rFonts w:ascii="Arial Narrow" w:hAnsi="Arial Narrow" w:cs="Arial"/>
              </w:rPr>
            </w:pPr>
            <w:r>
              <w:rPr>
                <w:rFonts w:cs="Arial" w:ascii="Arial Narrow" w:hAnsi="Arial Narrow"/>
              </w:rPr>
              <w:t>toutes les sujétions concernant la fourniture des énergies, de l'eau et les carburants;</w:t>
            </w:r>
          </w:p>
          <w:p>
            <w:pPr>
              <w:pStyle w:val="ListParagraph"/>
              <w:widowControl w:val="false"/>
              <w:rPr>
                <w:rFonts w:ascii="Arial Narrow" w:hAnsi="Arial Narrow" w:cs="Arial"/>
              </w:rPr>
            </w:pPr>
            <w:r>
              <w:rPr>
                <w:rFonts w:cs="Arial" w:ascii="Arial Narrow" w:hAnsi="Arial Narrow"/>
              </w:rPr>
              <w:t>toutes les sujétions de difficultés pour la réalisation de cette prestation en ravine et sur des talus de forte pente;</w:t>
            </w:r>
          </w:p>
          <w:p>
            <w:pPr>
              <w:pStyle w:val="ListParagraph"/>
              <w:widowControl w:val="false"/>
              <w:numPr>
                <w:ilvl w:val="0"/>
                <w:numId w:val="2"/>
              </w:numPr>
              <w:rPr>
                <w:rFonts w:ascii="Arial Narrow" w:hAnsi="Arial Narrow" w:cs="Arial"/>
              </w:rPr>
            </w:pPr>
            <w:r>
              <w:rPr>
                <w:rFonts w:cs="Arial" w:ascii="Arial Narrow" w:hAnsi="Arial Narrow"/>
              </w:rPr>
              <w:t>Le ramassage et l'évacuation des déchets verts et/ou des déchets divers et encombrants ;</w:t>
            </w:r>
          </w:p>
          <w:p>
            <w:pPr>
              <w:pStyle w:val="ListParagraph"/>
              <w:widowControl w:val="false"/>
              <w:numPr>
                <w:ilvl w:val="0"/>
                <w:numId w:val="2"/>
              </w:numPr>
              <w:rPr>
                <w:rFonts w:ascii="Arial Narrow" w:hAnsi="Arial Narrow" w:cs="Arial"/>
              </w:rPr>
            </w:pPr>
            <w:r>
              <w:rPr>
                <w:rFonts w:cs="Arial" w:ascii="Arial Narrow" w:hAnsi="Arial Narrow"/>
              </w:rPr>
              <w:t>Ce prix ne comprend pas le nettoyage de la zone des installations de chantier, des accès, des pistes d'accès, zone de stockage provisoire et zone de parking inclus dans le prix des installations de chantier.</w:t>
            </w:r>
          </w:p>
          <w:p>
            <w:pPr>
              <w:pStyle w:val="Titre1"/>
              <w:keepNext w:val="false"/>
              <w:widowControl w:val="false"/>
              <w:tabs>
                <w:tab w:val="clear" w:pos="6804"/>
              </w:tabs>
              <w:spacing w:before="360" w:after="120"/>
              <w:rPr>
                <w:rFonts w:ascii="Arial Narrow" w:hAnsi="Arial Narrow"/>
              </w:rPr>
            </w:pPr>
            <w:r>
              <w:rPr>
                <w:rFonts w:ascii="Arial Narrow" w:hAnsi="Arial Narrow"/>
              </w:rPr>
              <w:t>Ce prix s'applique au mètre carré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M²</w:t>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1939"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bCs/>
              </w:rPr>
            </w:pPr>
            <w:r>
              <w:rPr>
                <w:rFonts w:ascii="Arial Narrow" w:hAnsi="Arial Narrow"/>
                <w:b/>
                <w:bCs/>
              </w:rPr>
              <w:t>1.5</w:t>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rFonts w:ascii="Arial Narrow" w:hAnsi="Arial Narrow"/>
                <w:caps/>
              </w:rPr>
            </w:pPr>
            <w:r>
              <w:rPr>
                <w:rFonts w:ascii="Arial Narrow" w:hAnsi="Arial Narrow"/>
                <w:caps/>
              </w:rPr>
              <w:t>TRavaux préalables de mise à sec</w:t>
            </w:r>
          </w:p>
          <w:p>
            <w:pPr>
              <w:pStyle w:val="Normal"/>
              <w:widowControl w:val="false"/>
              <w:rPr>
                <w:rFonts w:ascii="Arial Narrow" w:hAnsi="Arial Narrow" w:cs="Arial"/>
              </w:rPr>
            </w:pPr>
            <w:r>
              <w:rPr>
                <w:rFonts w:cs="Arial" w:ascii="Arial Narrow" w:hAnsi="Arial Narrow"/>
              </w:rPr>
              <w:t>Ce prix rémunère au forfait, l’ensemble des travaux de dévoiement du lit de la Rivière des Roches afin de permettre la mise à sec de la zone concernée par les travaux, selon le phasage, les prescriptions, les plans ainsi que les profils types de l’article 4.05 du CCTP</w:t>
            </w:r>
          </w:p>
          <w:p>
            <w:pPr>
              <w:pStyle w:val="Normal"/>
              <w:widowControl w:val="false"/>
              <w:rPr>
                <w:rFonts w:ascii="Arial Narrow" w:hAnsi="Arial Narrow" w:cs="Arial"/>
              </w:rPr>
            </w:pPr>
            <w:r>
              <w:rPr>
                <w:rFonts w:cs="Arial" w:ascii="Arial Narrow" w:hAnsi="Arial Narrow"/>
              </w:rPr>
            </w:r>
          </w:p>
          <w:p>
            <w:pPr>
              <w:pStyle w:val="Normal"/>
              <w:widowControl w:val="false"/>
              <w:rPr>
                <w:rFonts w:ascii="Arial Narrow" w:hAnsi="Arial Narrow" w:cs="Arial"/>
              </w:rPr>
            </w:pPr>
            <w:r>
              <w:rPr>
                <w:rFonts w:cs="Arial" w:ascii="Arial Narrow" w:hAnsi="Arial Narrow"/>
              </w:rPr>
              <w:t>Ce prix comprend notamment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réalisation des accès provisoires aux travaux de mise à sec et de démolition du radier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Le débroussaillage de l’atterrissement au droit des futurs chenaux et le décapage de la terre végétale sur 30cm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Le terrassement de chenaux dans l’atterrissement central pour dériver les eaux vers la rive droite puis vers la rive gauche, conformément aux plans et profils types afférents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fourniture de matériaux alluvionnaires pour la réalisation de l’ouvrage provisoire de dérivation,</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fourniture de géomembrane étanche pour l’enrobage de la digue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réalisation des ouvrages provisoires de dévoiement du lit conformément aux phasages et exigences du CCTP et aux plans d’exécution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l’ensemble des batardeaux provisoires nécessaires à la bonne réalisation des travaux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réalisation d’une zone fusible amont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l’entretien pendant toute la phase travaux de l’ensemble des dispositifs de mise à sec mis en œuvre,</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mise en œuvre de système de pompage des eaux claires pour la mise à sec de la zone de travaux, notamment avant réalisation des pêches électriques de sauvegarde,</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mise en œuvre en cas de départ de MES à travers le cordon et vers le lit vif (hors des zones de travaux), d’un cerclage constitué de big-bags et de ballots de paille installé au niveau de la zone de fuite afin de piéger les particules fines ;</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la dépose de tous les ouvrages provisoires en fin de chantier,</w:t>
            </w:r>
          </w:p>
          <w:p>
            <w:pPr>
              <w:pStyle w:val="ListParagraph"/>
              <w:widowControl w:val="false"/>
              <w:numPr>
                <w:ilvl w:val="0"/>
                <w:numId w:val="2"/>
              </w:numPr>
              <w:spacing w:before="40" w:after="0"/>
              <w:contextualSpacing/>
              <w:rPr>
                <w:rFonts w:ascii="Arial Narrow" w:hAnsi="Arial Narrow" w:cs="Arial"/>
              </w:rPr>
            </w:pPr>
            <w:r>
              <w:rPr>
                <w:rFonts w:cs="Arial" w:ascii="Arial Narrow" w:hAnsi="Arial Narrow"/>
              </w:rPr>
              <w:t>toutes sujétions de phasage pour mener à bien la mise à sec.</w:t>
            </w:r>
          </w:p>
          <w:p>
            <w:pPr>
              <w:pStyle w:val="Normal"/>
              <w:widowControl w:val="false"/>
              <w:rPr>
                <w:rFonts w:ascii="Arial Narrow" w:hAnsi="Arial Narrow" w:cs="Arial"/>
              </w:rPr>
            </w:pPr>
            <w:r>
              <w:rPr>
                <w:rFonts w:cs="Arial" w:ascii="Arial Narrow" w:hAnsi="Arial Narrow"/>
              </w:rPr>
            </w:r>
          </w:p>
          <w:p>
            <w:pPr>
              <w:pStyle w:val="Normal"/>
              <w:widowControl w:val="false"/>
              <w:spacing w:before="40" w:after="40"/>
              <w:rPr>
                <w:rFonts w:ascii="Arial Narrow" w:hAnsi="Arial Narrow" w:cs="Arial"/>
              </w:rPr>
            </w:pPr>
            <w:r>
              <w:rPr>
                <w:rFonts w:cs="Arial" w:ascii="Arial Narrow" w:hAnsi="Arial Narrow"/>
              </w:rPr>
              <w:t>Il tient compte de toutes les sujétions résultant des mesures de sécurité prescrites par les services responsables.</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1152"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240" w:after="0"/>
              <w:jc w:val="center"/>
              <w:rPr>
                <w:rFonts w:ascii="Arial Narrow" w:hAnsi="Arial Narrow"/>
                <w:b/>
                <w:b/>
                <w:bCs/>
              </w:rPr>
            </w:pPr>
            <w:r>
              <w:rPr>
                <w:rFonts w:ascii="Arial Narrow" w:hAnsi="Arial Narrow"/>
                <w:b/>
                <w:bCs/>
              </w:rPr>
              <w:t>1.5-F</w:t>
            </w:r>
          </w:p>
          <w:p>
            <w:pPr>
              <w:pStyle w:val="Normal"/>
              <w:widowControl w:val="false"/>
              <w:tabs>
                <w:tab w:val="clear" w:pos="6804"/>
              </w:tabs>
              <w:spacing w:before="0" w:after="0"/>
              <w:jc w:val="center"/>
              <w:rPr>
                <w:rFonts w:ascii="Arial Narrow" w:hAnsi="Arial Narrow"/>
                <w:b/>
                <w:b/>
                <w:bCs/>
              </w:rPr>
            </w:pPr>
            <w:r>
              <w:rPr>
                <w:rFonts w:ascii="Arial Narrow" w:hAnsi="Arial Narrow"/>
                <w:b/>
                <w:bCs/>
              </w:rPr>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Opération 1 (Phase 1 et 2 : démolition du radier et reprofilage du lit mineur)</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1152"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1.5-C</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Opération 2 (Phase 3 : démolition des canaux bichiques et reprofilage du lit mineur)</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bCs/>
              </w:rPr>
            </w:pPr>
            <w:r>
              <w:rPr>
                <w:rFonts w:ascii="Arial Narrow" w:hAnsi="Arial Narrow"/>
                <w:b/>
                <w:bCs/>
              </w:rPr>
              <w:t>1.6</w:t>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tc>
        <w:tc>
          <w:tcPr>
            <w:tcW w:w="9866" w:type="dxa"/>
            <w:gridSpan w:val="2"/>
            <w:tcBorders>
              <w:top w:val="doub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left"/>
              <w:rPr>
                <w:rFonts w:ascii="Arial Narrow" w:hAnsi="Arial Narrow"/>
                <w:caps/>
              </w:rPr>
            </w:pPr>
            <w:r>
              <w:rPr>
                <w:rFonts w:ascii="Arial Narrow" w:hAnsi="Arial Narrow"/>
                <w:caps/>
              </w:rPr>
              <w:t xml:space="preserve">pêches electriques         </w:t>
            </w:r>
          </w:p>
          <w:p>
            <w:pPr>
              <w:pStyle w:val="Normal"/>
              <w:widowControl w:val="false"/>
              <w:jc w:val="left"/>
              <w:rPr>
                <w:rFonts w:ascii="Arial Narrow" w:hAnsi="Arial Narrow" w:cs="Arial"/>
              </w:rPr>
            </w:pPr>
            <w:r>
              <w:rPr>
                <w:rFonts w:cs="Arial" w:ascii="Arial Narrow" w:hAnsi="Arial Narrow"/>
              </w:rPr>
              <w:t xml:space="preserve">Ce prix rémunère au forfait, la réalisation de pêches électriques </w:t>
            </w:r>
            <w:r>
              <w:rPr>
                <w:rFonts w:ascii="Arial Narrow" w:hAnsi="Arial Narrow"/>
              </w:rPr>
              <w:t>conformément aux prescriptions de la fédération de pêche et des prescriptions du CCTP à l’article 4.06.</w:t>
            </w:r>
          </w:p>
          <w:p>
            <w:pPr>
              <w:pStyle w:val="Normal"/>
              <w:widowControl w:val="false"/>
              <w:spacing w:lineRule="exact" w:line="240"/>
              <w:jc w:val="left"/>
              <w:rPr>
                <w:rFonts w:ascii="Arial Narrow" w:hAnsi="Arial Narrow"/>
              </w:rPr>
            </w:pPr>
            <w:r>
              <w:rPr>
                <w:rFonts w:ascii="Arial Narrow" w:hAnsi="Arial Narrow"/>
              </w:rPr>
              <w:t>Ce prix comprend notamment :</w:t>
            </w:r>
          </w:p>
          <w:p>
            <w:pPr>
              <w:pStyle w:val="ListParagraph"/>
              <w:widowControl w:val="false"/>
              <w:numPr>
                <w:ilvl w:val="0"/>
                <w:numId w:val="2"/>
              </w:numPr>
              <w:jc w:val="left"/>
              <w:rPr>
                <w:rFonts w:ascii="Arial Narrow" w:hAnsi="Arial Narrow" w:cs="Arial"/>
              </w:rPr>
            </w:pPr>
            <w:r>
              <w:rPr>
                <w:rFonts w:cs="Arial" w:ascii="Arial Narrow" w:hAnsi="Arial Narrow"/>
              </w:rPr>
              <w:t>la présentation du protocole d’intervention pour validation auprès de la MOA;</w:t>
            </w:r>
          </w:p>
          <w:p>
            <w:pPr>
              <w:pStyle w:val="ListParagraph"/>
              <w:widowControl w:val="false"/>
              <w:numPr>
                <w:ilvl w:val="0"/>
                <w:numId w:val="2"/>
              </w:numPr>
              <w:jc w:val="left"/>
              <w:rPr>
                <w:rFonts w:ascii="Arial Narrow" w:hAnsi="Arial Narrow" w:cs="Arial"/>
              </w:rPr>
            </w:pPr>
            <w:r>
              <w:rPr>
                <w:rFonts w:cs="Arial" w:ascii="Arial Narrow" w:hAnsi="Arial Narrow"/>
              </w:rPr>
              <w:t>la mise à disposition des équipes nécessaires aux interventions en amont et aval du radier ;</w:t>
            </w:r>
          </w:p>
          <w:p>
            <w:pPr>
              <w:pStyle w:val="ListParagraph"/>
              <w:widowControl w:val="false"/>
              <w:numPr>
                <w:ilvl w:val="0"/>
                <w:numId w:val="2"/>
              </w:numPr>
              <w:spacing w:before="40" w:after="40"/>
              <w:contextualSpacing/>
              <w:jc w:val="left"/>
              <w:rPr>
                <w:rFonts w:ascii="Arial Narrow" w:hAnsi="Arial Narrow" w:cs="Arial"/>
              </w:rPr>
            </w:pPr>
            <w:r>
              <w:rPr>
                <w:rFonts w:cs="Arial" w:ascii="Arial Narrow" w:hAnsi="Arial Narrow"/>
              </w:rPr>
              <w:t>y compris toutes sujétions.</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1.6-F</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 xml:space="preserve">Opération 1 : </w:t>
            </w:r>
            <w:r>
              <w:rPr>
                <w:rFonts w:ascii="Marianne" w:hAnsi="Marianne"/>
                <w:color w:val="C9211E"/>
              </w:rPr>
              <w:t>Suppression des radiers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0" w:after="0"/>
              <w:jc w:val="center"/>
              <w:rPr>
                <w:rFonts w:ascii="Arial Narrow" w:hAnsi="Arial Narrow"/>
                <w:b/>
                <w:b/>
                <w:bCs/>
                <w:sz w:val="24"/>
              </w:rPr>
            </w:pPr>
            <w:r>
              <w:rPr>
                <w:rFonts w:ascii="Arial Narrow" w:hAnsi="Arial Narrow"/>
                <w:b/>
                <w:bCs/>
                <w:sz w:val="24"/>
              </w:rPr>
            </w:r>
          </w:p>
          <w:p>
            <w:pPr>
              <w:pStyle w:val="Normal"/>
              <w:widowControl w:val="false"/>
              <w:tabs>
                <w:tab w:val="clear" w:pos="6804"/>
              </w:tabs>
              <w:spacing w:before="0" w:after="0"/>
              <w:jc w:val="center"/>
              <w:rPr>
                <w:rFonts w:ascii="Arial Narrow" w:hAnsi="Arial Narrow"/>
                <w:b/>
                <w:b/>
                <w:bCs/>
              </w:rPr>
            </w:pPr>
            <w:r>
              <w:rPr>
                <w:rFonts w:ascii="Arial Narrow" w:hAnsi="Arial Narrow"/>
                <w:b/>
                <w:bCs/>
              </w:rPr>
              <w:t>1.6-C</w:t>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120" w:after="120"/>
              <w:rPr>
                <w:color w:val="C9211E"/>
              </w:rPr>
            </w:pPr>
            <w:r>
              <w:rPr>
                <w:rFonts w:ascii="Arial Narrow" w:hAnsi="Arial Narrow"/>
                <w:color w:val="C9211E"/>
              </w:rPr>
              <w:t xml:space="preserve">Opération 2 : </w:t>
            </w:r>
            <w:r>
              <w:rPr>
                <w:rFonts w:ascii="Marianne" w:hAnsi="Marianne"/>
                <w:color w:val="C9211E"/>
              </w:rPr>
              <w:t>Suppression des canaux bichiques</w:t>
            </w:r>
          </w:p>
          <w:p>
            <w:pPr>
              <w:pStyle w:val="Titre1"/>
              <w:keepNext w:val="false"/>
              <w:widowControl w:val="false"/>
              <w:tabs>
                <w:tab w:val="clear" w:pos="6804"/>
              </w:tabs>
              <w:spacing w:before="120" w:after="120"/>
              <w:rPr>
                <w:rFonts w:ascii="Arial Narrow" w:hAnsi="Arial Narrow"/>
              </w:rPr>
            </w:pPr>
            <w:r>
              <w:rPr>
                <w:rFonts w:ascii="Arial Narrow" w:hAnsi="Arial Narrow"/>
              </w:rPr>
              <w:t>Le forfait :…………………………………………………………………………….</w:t>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Titre1"/>
              <w:keepNext w:val="false"/>
              <w:widowControl w:val="false"/>
              <w:tabs>
                <w:tab w:val="clear" w:pos="6804"/>
              </w:tabs>
              <w:spacing w:before="120" w:after="120"/>
              <w:jc w:val="center"/>
              <w:rPr>
                <w:rFonts w:ascii="Arial Narrow" w:hAnsi="Arial Narrow"/>
                <w:sz w:val="22"/>
              </w:rPr>
            </w:pPr>
            <w:r>
              <w:rPr>
                <w:rFonts w:ascii="Arial Narrow" w:hAnsi="Arial Narrow"/>
                <w:sz w:val="22"/>
              </w:rPr>
            </w:r>
          </w:p>
          <w:p>
            <w:pPr>
              <w:pStyle w:val="Titre1"/>
              <w:keepNext w:val="false"/>
              <w:widowControl w:val="false"/>
              <w:tabs>
                <w:tab w:val="clear" w:pos="6804"/>
              </w:tabs>
              <w:spacing w:before="120" w:after="120"/>
              <w:jc w:val="center"/>
              <w:rPr>
                <w:rFonts w:ascii="Arial Narrow" w:hAnsi="Arial Narrow"/>
              </w:rPr>
            </w:pPr>
            <w:r>
              <w:rPr>
                <w:rFonts w:ascii="Arial Narrow" w:hAnsi="Arial Narrow"/>
              </w:rPr>
              <w:t>FT</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799"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360" w:after="120"/>
              <w:jc w:val="center"/>
              <w:rPr>
                <w:rFonts w:ascii="Arial Narrow" w:hAnsi="Arial Narrow"/>
                <w:b/>
                <w:b/>
                <w:bCs/>
              </w:rPr>
            </w:pPr>
            <w:r>
              <w:rPr>
                <w:rFonts w:ascii="Arial Narrow" w:hAnsi="Arial Narrow"/>
                <w:b/>
                <w:bCs/>
              </w:rPr>
              <w:t>1.7</w:t>
            </w:r>
          </w:p>
          <w:p>
            <w:pPr>
              <w:pStyle w:val="Normal"/>
              <w:widowControl w:val="false"/>
              <w:tabs>
                <w:tab w:val="clear" w:pos="6804"/>
              </w:tabs>
              <w:spacing w:before="120" w:after="120"/>
              <w:jc w:val="center"/>
              <w:rPr>
                <w:rFonts w:ascii="Arial Narrow" w:hAnsi="Arial Narrow"/>
                <w:b/>
                <w:b/>
                <w:bCs/>
              </w:rPr>
            </w:pPr>
            <w:r>
              <w:rPr>
                <w:rFonts w:ascii="Arial Narrow" w:hAnsi="Arial Narrow"/>
                <w:b/>
                <w:bCs/>
              </w:rPr>
            </w:r>
          </w:p>
        </w:tc>
        <w:tc>
          <w:tcPr>
            <w:tcW w:w="9866" w:type="dxa"/>
            <w:gridSpan w:val="2"/>
            <w:tcBorders>
              <w:top w:val="double" w:sz="4" w:space="0" w:color="000000"/>
              <w:bottom w:val="double" w:sz="4" w:space="0" w:color="000000"/>
              <w:right w:val="single" w:sz="4" w:space="0" w:color="000000"/>
            </w:tcBorders>
            <w:vAlign w:val="center"/>
          </w:tcPr>
          <w:p>
            <w:pPr>
              <w:pStyle w:val="Titre1"/>
              <w:keepNext w:val="false"/>
              <w:widowControl w:val="false"/>
              <w:tabs>
                <w:tab w:val="clear" w:pos="6804"/>
              </w:tabs>
              <w:spacing w:before="0" w:after="120"/>
              <w:rPr>
                <w:rFonts w:ascii="Arial Narrow" w:hAnsi="Arial Narrow"/>
                <w:caps/>
              </w:rPr>
            </w:pPr>
            <w:r>
              <w:rPr>
                <w:rFonts w:ascii="Arial Narrow" w:hAnsi="Arial Narrow"/>
                <w:caps/>
              </w:rPr>
              <w:t>RECONNAISSANCES GEOTECHNIQUES</w:t>
            </w:r>
          </w:p>
          <w:p>
            <w:pPr>
              <w:pStyle w:val="Normal"/>
              <w:widowControl w:val="false"/>
              <w:rPr>
                <w:rFonts w:ascii="Arial Narrow" w:hAnsi="Arial Narrow" w:cs="Arial"/>
              </w:rPr>
            </w:pPr>
            <w:r>
              <w:rPr>
                <w:rFonts w:cs="Arial" w:ascii="Arial Narrow" w:hAnsi="Arial Narrow"/>
              </w:rPr>
              <w:t>Sondages complémentaires de sol (mission G3)</w:t>
            </w:r>
          </w:p>
          <w:p>
            <w:pPr>
              <w:pStyle w:val="Normal"/>
              <w:widowControl w:val="false"/>
              <w:rPr>
                <w:rFonts w:ascii="Arial Narrow" w:hAnsi="Arial Narrow" w:cs="Arial"/>
              </w:rPr>
            </w:pPr>
            <w:r>
              <w:rPr>
                <w:rFonts w:cs="Arial" w:ascii="Arial Narrow" w:hAnsi="Arial Narrow"/>
              </w:rPr>
              <w:t>Le prix rémunère la réalisation de tous les sondages et essais complémentaires nécessaires définis dans le cadre de la mission G5, et que l'entreprise devra approfondir dans le cadre de sa G3 et de ses études d'exécutions.</w:t>
            </w:r>
          </w:p>
          <w:p>
            <w:pPr>
              <w:pStyle w:val="Normal"/>
              <w:widowControl w:val="false"/>
              <w:rPr>
                <w:rFonts w:ascii="Arial Narrow" w:hAnsi="Arial Narrow" w:cs="Arial"/>
              </w:rPr>
            </w:pPr>
            <w:r>
              <w:rPr>
                <w:rFonts w:cs="Arial" w:ascii="Arial Narrow" w:hAnsi="Arial Narrow"/>
              </w:rPr>
              <w:t>Il comprend notamment :</w:t>
            </w:r>
          </w:p>
          <w:p>
            <w:pPr>
              <w:pStyle w:val="ListParagraph"/>
              <w:widowControl w:val="false"/>
              <w:numPr>
                <w:ilvl w:val="0"/>
                <w:numId w:val="2"/>
              </w:numPr>
              <w:rPr>
                <w:rFonts w:ascii="Arial Narrow" w:hAnsi="Arial Narrow" w:cs="Arial"/>
              </w:rPr>
            </w:pPr>
            <w:r>
              <w:rPr>
                <w:rFonts w:cs="Arial" w:ascii="Arial Narrow" w:hAnsi="Arial Narrow"/>
              </w:rPr>
              <w:t>toutes les fournitures, matériels, moyens mécaniques et humains pour réaliser cette prestation conforme aux prescriptions du CCTP ainsi qu'aux normes et fascicules en vigueur;</w:t>
            </w:r>
          </w:p>
          <w:p>
            <w:pPr>
              <w:pStyle w:val="ListParagraph"/>
              <w:widowControl w:val="false"/>
              <w:numPr>
                <w:ilvl w:val="0"/>
                <w:numId w:val="2"/>
              </w:numPr>
              <w:rPr>
                <w:rFonts w:ascii="Arial Narrow" w:hAnsi="Arial Narrow" w:cs="Arial"/>
              </w:rPr>
            </w:pPr>
            <w:r>
              <w:rPr>
                <w:rFonts w:cs="Arial" w:ascii="Arial Narrow" w:hAnsi="Arial Narrow"/>
              </w:rPr>
              <w:t>l'amenée, la mobilisation et le repli des engins mécaniques même spécifiques en état de fonctionnement et à jour de leur révision;</w:t>
            </w:r>
          </w:p>
          <w:p>
            <w:pPr>
              <w:pStyle w:val="ListParagraph"/>
              <w:widowControl w:val="false"/>
              <w:numPr>
                <w:ilvl w:val="0"/>
                <w:numId w:val="2"/>
              </w:numPr>
              <w:rPr>
                <w:rFonts w:ascii="Arial Narrow" w:hAnsi="Arial Narrow" w:cs="Arial"/>
              </w:rPr>
            </w:pPr>
            <w:r>
              <w:rPr>
                <w:rFonts w:cs="Arial" w:ascii="Arial Narrow" w:hAnsi="Arial Narrow"/>
              </w:rPr>
              <w:t>tous les moyens humains et d'encadrement dont le nombre sera adapté à la prestation ainsi qu'à la sécurité;</w:t>
            </w:r>
          </w:p>
          <w:p>
            <w:pPr>
              <w:pStyle w:val="ListParagraph"/>
              <w:widowControl w:val="false"/>
              <w:numPr>
                <w:ilvl w:val="0"/>
                <w:numId w:val="2"/>
              </w:numPr>
              <w:rPr>
                <w:rFonts w:ascii="Arial Narrow" w:hAnsi="Arial Narrow" w:cs="Arial"/>
              </w:rPr>
            </w:pPr>
            <w:r>
              <w:rPr>
                <w:rFonts w:cs="Arial" w:ascii="Arial Narrow" w:hAnsi="Arial Narrow"/>
              </w:rPr>
              <w:t>toutes les sujétions concernant la fourniture des énergies, de l'eau et les carburants;</w:t>
            </w:r>
          </w:p>
          <w:p>
            <w:pPr>
              <w:pStyle w:val="ListParagraph"/>
              <w:widowControl w:val="false"/>
              <w:numPr>
                <w:ilvl w:val="0"/>
                <w:numId w:val="2"/>
              </w:numPr>
              <w:rPr>
                <w:rFonts w:ascii="Arial Narrow" w:hAnsi="Arial Narrow" w:cs="Arial"/>
              </w:rPr>
            </w:pPr>
            <w:r>
              <w:rPr>
                <w:rFonts w:cs="Arial" w:ascii="Arial Narrow" w:hAnsi="Arial Narrow"/>
              </w:rPr>
              <w:t>la réalisation des sondages et des prélèvements ;</w:t>
            </w:r>
          </w:p>
          <w:p>
            <w:pPr>
              <w:pStyle w:val="ListParagraph"/>
              <w:widowControl w:val="false"/>
              <w:numPr>
                <w:ilvl w:val="0"/>
                <w:numId w:val="2"/>
              </w:numPr>
              <w:rPr>
                <w:rFonts w:ascii="Arial Narrow" w:hAnsi="Arial Narrow" w:cs="Arial"/>
              </w:rPr>
            </w:pPr>
            <w:r>
              <w:rPr>
                <w:rFonts w:cs="Arial" w:ascii="Arial Narrow" w:hAnsi="Arial Narrow"/>
              </w:rPr>
              <w:t>les essais in situ et le transport en laboratoire et les essais en laboratoire ;</w:t>
            </w:r>
          </w:p>
          <w:p>
            <w:pPr>
              <w:pStyle w:val="ListParagraph"/>
              <w:widowControl w:val="false"/>
              <w:numPr>
                <w:ilvl w:val="0"/>
                <w:numId w:val="2"/>
              </w:numPr>
              <w:rPr>
                <w:rFonts w:ascii="Arial Narrow" w:hAnsi="Arial Narrow" w:cs="Arial"/>
              </w:rPr>
            </w:pPr>
            <w:r>
              <w:rPr>
                <w:rFonts w:cs="Arial" w:ascii="Arial Narrow" w:hAnsi="Arial Narrow"/>
              </w:rPr>
              <w:t>toutes les sujétions de difficultés pour la réalisation de cette prestation en ravine;</w:t>
            </w:r>
          </w:p>
          <w:p>
            <w:pPr>
              <w:pStyle w:val="ListParagraph"/>
              <w:widowControl w:val="false"/>
              <w:numPr>
                <w:ilvl w:val="0"/>
                <w:numId w:val="2"/>
              </w:numPr>
              <w:rPr>
                <w:rFonts w:ascii="Arial Narrow" w:hAnsi="Arial Narrow" w:cs="Arial"/>
              </w:rPr>
            </w:pPr>
            <w:r>
              <w:rPr>
                <w:rFonts w:cs="Arial" w:ascii="Arial Narrow" w:hAnsi="Arial Narrow"/>
              </w:rPr>
              <w:t>la fourniture d'un rapport d'essais ;</w:t>
            </w:r>
          </w:p>
          <w:p>
            <w:pPr>
              <w:pStyle w:val="ListParagraph"/>
              <w:widowControl w:val="false"/>
              <w:numPr>
                <w:ilvl w:val="0"/>
                <w:numId w:val="2"/>
              </w:numPr>
              <w:rPr>
                <w:rFonts w:ascii="Arial Narrow" w:hAnsi="Arial Narrow" w:cs="Arial"/>
              </w:rPr>
            </w:pPr>
            <w:r>
              <w:rPr>
                <w:rFonts w:cs="Arial" w:ascii="Arial Narrow" w:hAnsi="Arial Narrow"/>
              </w:rPr>
              <w:t>l'évacuation en décharge des gravats par l'entrepreneur.</w:t>
            </w:r>
          </w:p>
          <w:p>
            <w:pPr>
              <w:pStyle w:val="Normal"/>
              <w:widowControl w:val="false"/>
              <w:rPr>
                <w:rFonts w:ascii="Arial Narrow" w:hAnsi="Arial Narrow" w:cs="Arial"/>
                <w:sz w:val="6"/>
                <w:szCs w:val="6"/>
              </w:rPr>
            </w:pPr>
            <w:r>
              <w:rPr>
                <w:rFonts w:cs="Arial" w:ascii="Arial Narrow" w:hAnsi="Arial Narrow"/>
                <w:sz w:val="6"/>
                <w:szCs w:val="6"/>
              </w:rPr>
            </w:r>
          </w:p>
          <w:p>
            <w:pPr>
              <w:pStyle w:val="Normal"/>
              <w:widowControl w:val="false"/>
              <w:rPr>
                <w:rFonts w:ascii="Arial Narrow" w:hAnsi="Arial Narrow" w:cs="Arial"/>
              </w:rPr>
            </w:pPr>
            <w:r>
              <w:rPr>
                <w:rFonts w:cs="Arial" w:ascii="Arial Narrow" w:hAnsi="Arial Narrow"/>
              </w:rPr>
              <w:t>L'ensemble des interventions seront effectuées selon les contraintes d'exploitation du site.</w:t>
            </w:r>
          </w:p>
          <w:p>
            <w:pPr>
              <w:pStyle w:val="Normal"/>
              <w:widowControl w:val="false"/>
              <w:rPr>
                <w:rFonts w:ascii="Arial Narrow" w:hAnsi="Arial Narrow" w:cs="Arial"/>
                <w:sz w:val="6"/>
                <w:szCs w:val="6"/>
              </w:rPr>
            </w:pPr>
            <w:r>
              <w:rPr>
                <w:rFonts w:cs="Arial" w:ascii="Arial Narrow" w:hAnsi="Arial Narrow"/>
                <w:sz w:val="6"/>
                <w:szCs w:val="6"/>
              </w:rPr>
            </w:r>
          </w:p>
          <w:p>
            <w:pPr>
              <w:pStyle w:val="Titre1"/>
              <w:keepNext w:val="false"/>
              <w:widowControl w:val="false"/>
              <w:tabs>
                <w:tab w:val="clear" w:pos="6804"/>
              </w:tabs>
              <w:spacing w:before="0" w:after="0"/>
              <w:rPr>
                <w:rFonts w:ascii="Arial Narrow" w:hAnsi="Arial Narrow"/>
              </w:rPr>
            </w:pPr>
            <w:r>
              <w:rPr>
                <w:rFonts w:ascii="Arial Narrow" w:hAnsi="Arial Narrow"/>
              </w:rPr>
              <w:t>Le forfait :…………………………………………………………………………….</w:t>
            </w:r>
          </w:p>
          <w:p>
            <w:pPr>
              <w:pStyle w:val="Normal"/>
              <w:widowControl w:val="false"/>
              <w:spacing w:before="40" w:after="40"/>
              <w:rPr>
                <w:sz w:val="6"/>
                <w:szCs w:val="6"/>
              </w:rPr>
            </w:pPr>
            <w:r>
              <w:rPr>
                <w:sz w:val="6"/>
                <w:szCs w:val="6"/>
              </w:rPr>
            </w:r>
          </w:p>
        </w:tc>
        <w:tc>
          <w:tcPr>
            <w:tcW w:w="1019"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FT</w:t>
            </w:r>
          </w:p>
        </w:tc>
        <w:tc>
          <w:tcPr>
            <w:tcW w:w="1448"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355" w:type="dxa"/>
            <w:gridSpan w:val="2"/>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567" w:hRule="atLeast"/>
        </w:trPr>
        <w:tc>
          <w:tcPr>
            <w:tcW w:w="850" w:type="dxa"/>
            <w:gridSpan w:val="2"/>
            <w:tcBorders>
              <w:top w:val="double" w:sz="4" w:space="0" w:color="000000"/>
              <w:left w:val="doub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N° DES PRIX</w:t>
            </w:r>
          </w:p>
        </w:tc>
        <w:tc>
          <w:tcPr>
            <w:tcW w:w="10065" w:type="dxa"/>
            <w:gridSpan w:val="2"/>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DESIGNATION DES FOURNITURES OU TRAVAUX </w:t>
              <w:br/>
              <w:t>(Unités et prix en lettres)</w:t>
            </w:r>
          </w:p>
        </w:tc>
        <w:tc>
          <w:tcPr>
            <w:tcW w:w="850" w:type="dxa"/>
            <w:gridSpan w:val="2"/>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UNITE</w:t>
            </w:r>
          </w:p>
        </w:tc>
        <w:tc>
          <w:tcPr>
            <w:tcW w:w="1583" w:type="dxa"/>
            <w:gridSpan w:val="2"/>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PRIX UNITAIRE (euros HT)</w:t>
            </w:r>
          </w:p>
        </w:tc>
        <w:tc>
          <w:tcPr>
            <w:tcW w:w="2139" w:type="dxa"/>
            <w:tcBorders>
              <w:top w:val="double" w:sz="4" w:space="0" w:color="000000"/>
              <w:left w:val="single" w:sz="4" w:space="0" w:color="000000"/>
              <w:bottom w:val="double" w:sz="4" w:space="0" w:color="000000"/>
              <w:right w:val="doub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PRIX </w:t>
              <w:br/>
              <w:t>(euros HT)</w:t>
            </w:r>
          </w:p>
        </w:tc>
      </w:tr>
      <w:tr>
        <w:trPr>
          <w:trHeight w:val="280" w:hRule="atLeast"/>
        </w:trPr>
        <w:tc>
          <w:tcPr>
            <w:tcW w:w="15487" w:type="dxa"/>
            <w:gridSpan w:val="9"/>
            <w:tcBorders>
              <w:left w:val="double" w:sz="4" w:space="0" w:color="000000"/>
              <w:bottom w:val="double" w:sz="4" w:space="0" w:color="000000"/>
              <w:right w:val="double" w:sz="4" w:space="0" w:color="000000"/>
            </w:tcBorders>
            <w:shd w:color="auto" w:fill="FFFF00" w:val="clear"/>
            <w:vAlign w:val="center"/>
          </w:tcPr>
          <w:p>
            <w:pPr>
              <w:pStyle w:val="Entte"/>
              <w:widowControl w:val="false"/>
              <w:tabs>
                <w:tab w:val="clear" w:pos="4536"/>
                <w:tab w:val="clear" w:pos="6804"/>
                <w:tab w:val="clear" w:pos="9072"/>
                <w:tab w:val="right" w:pos="2059" w:leader="dot"/>
              </w:tabs>
              <w:spacing w:before="80" w:after="80"/>
              <w:jc w:val="center"/>
              <w:rPr>
                <w:rFonts w:ascii="Arial Narrow" w:hAnsi="Arial Narrow"/>
                <w:b/>
                <w:b/>
              </w:rPr>
            </w:pPr>
            <w:r>
              <w:rPr>
                <w:rFonts w:ascii="Arial Narrow" w:hAnsi="Arial Narrow"/>
                <w:b/>
              </w:rPr>
              <w:t>2. TRAVAUX DE TERRASSEMENT</w:t>
            </w:r>
          </w:p>
        </w:tc>
      </w:tr>
      <w:tr>
        <w:trPr>
          <w:trHeight w:val="2227" w:hRule="atLeast"/>
        </w:trPr>
        <w:tc>
          <w:tcPr>
            <w:tcW w:w="850" w:type="dxa"/>
            <w:gridSpan w:val="2"/>
            <w:tcBorders>
              <w:top w:val="double" w:sz="4" w:space="0" w:color="000000"/>
              <w:left w:val="double" w:sz="4" w:space="0" w:color="000000"/>
              <w:bottom w:val="double" w:sz="4" w:space="0" w:color="000000"/>
              <w:right w:val="single" w:sz="2" w:space="0" w:color="000000"/>
            </w:tcBorders>
          </w:tcPr>
          <w:p>
            <w:pPr>
              <w:pStyle w:val="Titre1"/>
              <w:keepNext w:val="false"/>
              <w:widowControl w:val="false"/>
              <w:tabs>
                <w:tab w:val="clear" w:pos="6804"/>
              </w:tabs>
              <w:spacing w:before="120" w:after="120"/>
              <w:jc w:val="center"/>
              <w:rPr>
                <w:rFonts w:ascii="Arial Narrow" w:hAnsi="Arial Narrow"/>
              </w:rPr>
            </w:pPr>
            <w:r>
              <w:rPr>
                <w:rFonts w:ascii="Arial Narrow" w:hAnsi="Arial Narrow"/>
              </w:rPr>
              <w:t>2.1</w:t>
            </w:r>
          </w:p>
        </w:tc>
        <w:tc>
          <w:tcPr>
            <w:tcW w:w="10065" w:type="dxa"/>
            <w:gridSpan w:val="2"/>
            <w:tcBorders>
              <w:top w:val="double" w:sz="4" w:space="0" w:color="000000"/>
              <w:bottom w:val="double" w:sz="4" w:space="0" w:color="000000"/>
              <w:right w:val="single" w:sz="4" w:space="0" w:color="000000"/>
            </w:tcBorders>
          </w:tcPr>
          <w:p>
            <w:pPr>
              <w:pStyle w:val="Titre1"/>
              <w:keepNext w:val="false"/>
              <w:widowControl w:val="false"/>
              <w:tabs>
                <w:tab w:val="clear" w:pos="6804"/>
              </w:tabs>
              <w:spacing w:before="120" w:after="120"/>
              <w:rPr>
                <w:rFonts w:ascii="Arial Narrow" w:hAnsi="Arial Narrow"/>
                <w:caps/>
              </w:rPr>
            </w:pPr>
            <w:r>
              <w:rPr>
                <w:rFonts w:ascii="Arial Narrow" w:hAnsi="Arial Narrow"/>
                <w:caps/>
              </w:rPr>
              <w:t>demolition DU RADIER ACTUEL ET EVACUATION DES MATERIAUX</w:t>
            </w:r>
          </w:p>
          <w:p>
            <w:pPr>
              <w:pStyle w:val="Normal"/>
              <w:widowControl w:val="false"/>
              <w:spacing w:before="40" w:after="0"/>
              <w:ind w:right="-1" w:hanging="0"/>
              <w:rPr>
                <w:rFonts w:ascii="Arial Narrow" w:hAnsi="Arial Narrow"/>
              </w:rPr>
            </w:pPr>
            <w:r>
              <w:rPr>
                <w:rFonts w:ascii="Arial Narrow" w:hAnsi="Arial Narrow"/>
              </w:rPr>
              <w:t xml:space="preserve">Ce prix rémunère au forfait, la démolition du radier </w:t>
            </w:r>
            <w:r>
              <w:rPr>
                <w:rFonts w:cs="Arial" w:ascii="Arial Narrow" w:hAnsi="Arial Narrow"/>
              </w:rPr>
              <w:t>conformément aux CCTP et aux plans d’exécution</w:t>
            </w:r>
            <w:r>
              <w:rPr>
                <w:rFonts w:ascii="Arial Narrow" w:hAnsi="Arial Narrow"/>
              </w:rPr>
              <w:t xml:space="preserve"> ainsi que l’évacuation des produits de démolition en décharge agréée. </w:t>
            </w:r>
          </w:p>
          <w:p>
            <w:pPr>
              <w:pStyle w:val="Normal"/>
              <w:widowControl w:val="false"/>
              <w:spacing w:before="40" w:after="0"/>
              <w:ind w:right="-1" w:hanging="0"/>
              <w:rPr>
                <w:rFonts w:ascii="Arial Narrow" w:hAnsi="Arial Narrow"/>
              </w:rPr>
            </w:pPr>
            <w:r>
              <w:rPr>
                <w:rFonts w:ascii="Arial Narrow" w:hAnsi="Arial Narrow"/>
              </w:rPr>
              <w:t>Ce prix comprend notamment :</w:t>
            </w:r>
          </w:p>
          <w:p>
            <w:pPr>
              <w:pStyle w:val="Normal"/>
              <w:widowControl w:val="false"/>
              <w:rPr>
                <w:rFonts w:ascii="Arial Narrow" w:hAnsi="Arial Narrow" w:cs="Arial"/>
              </w:rPr>
            </w:pPr>
            <w:r>
              <w:rPr>
                <w:rFonts w:cs="Arial" w:ascii="Arial Narrow" w:hAnsi="Arial Narrow"/>
              </w:rPr>
              <w:t>- La démolition par engins mécaniques ou manuels du radier,</w:t>
            </w:r>
          </w:p>
          <w:p>
            <w:pPr>
              <w:pStyle w:val="Normal"/>
              <w:widowControl w:val="false"/>
              <w:rPr>
                <w:rFonts w:ascii="Arial Narrow" w:hAnsi="Arial Narrow" w:cs="Arial"/>
              </w:rPr>
            </w:pPr>
            <w:r>
              <w:rPr>
                <w:rFonts w:cs="Arial" w:ascii="Arial Narrow" w:hAnsi="Arial Narrow"/>
              </w:rPr>
              <w:t>- La démolition par engins mécaniques ou manuels des ouvrages de protections en enrochement liaisonnés existants en rive gauche et rive droite du radier ;</w:t>
            </w:r>
          </w:p>
          <w:p>
            <w:pPr>
              <w:pStyle w:val="Normal"/>
              <w:widowControl w:val="false"/>
              <w:rPr>
                <w:rFonts w:ascii="Arial Narrow" w:hAnsi="Arial Narrow" w:cs="Arial"/>
              </w:rPr>
            </w:pPr>
            <w:r>
              <w:rPr>
                <w:rFonts w:cs="Arial" w:ascii="Arial Narrow" w:hAnsi="Arial Narrow"/>
              </w:rPr>
              <w:t>- L'évacuation des gravats (chargement, transport et déchargement) quelle que soit la distance des zones de mise en dépôt définitif par l'entrepreneur ainsi que les frais et droits de décharge,</w:t>
            </w:r>
          </w:p>
          <w:p>
            <w:pPr>
              <w:pStyle w:val="Normal"/>
              <w:widowControl w:val="false"/>
              <w:rPr>
                <w:rFonts w:ascii="Arial Narrow" w:hAnsi="Arial Narrow" w:cs="Arial"/>
              </w:rPr>
            </w:pPr>
            <w:r>
              <w:rPr>
                <w:rFonts w:cs="Arial" w:ascii="Arial Narrow" w:hAnsi="Arial Narrow"/>
              </w:rPr>
              <w:t>- Toutes sujétions diverses de démolition,</w:t>
            </w:r>
          </w:p>
          <w:p>
            <w:pPr>
              <w:pStyle w:val="Normal"/>
              <w:widowControl w:val="false"/>
              <w:rPr>
                <w:rFonts w:ascii="Arial Narrow" w:hAnsi="Arial Narrow" w:cs="Arial"/>
              </w:rPr>
            </w:pPr>
            <w:r>
              <w:rPr>
                <w:rFonts w:cs="Arial" w:ascii="Arial Narrow" w:hAnsi="Arial Narrow"/>
              </w:rPr>
              <w:t>- Toutes sujétions de confortements, de signalisations et de mise en sécurité du site,</w:t>
            </w:r>
          </w:p>
          <w:p>
            <w:pPr>
              <w:pStyle w:val="Puce1"/>
              <w:widowControl w:val="false"/>
              <w:numPr>
                <w:ilvl w:val="0"/>
                <w:numId w:val="0"/>
              </w:numPr>
              <w:spacing w:before="120" w:after="120"/>
              <w:ind w:left="0" w:hanging="0"/>
              <w:rPr>
                <w:rFonts w:ascii="Arial Narrow" w:hAnsi="Arial Narrow"/>
                <w:b/>
                <w:b/>
              </w:rPr>
            </w:pPr>
            <w:r>
              <w:rPr>
                <w:rFonts w:ascii="Arial Narrow" w:hAnsi="Arial Narrow"/>
                <w:b/>
              </w:rPr>
            </w:r>
          </w:p>
          <w:p>
            <w:pPr>
              <w:pStyle w:val="Puce1"/>
              <w:widowControl w:val="false"/>
              <w:numPr>
                <w:ilvl w:val="0"/>
                <w:numId w:val="0"/>
              </w:numPr>
              <w:spacing w:before="120" w:after="120"/>
              <w:ind w:left="0" w:hanging="0"/>
              <w:rPr>
                <w:rFonts w:ascii="Arial Narrow" w:hAnsi="Arial Narrow"/>
                <w:b/>
                <w:b/>
              </w:rPr>
            </w:pPr>
            <w:r>
              <w:rPr>
                <w:rFonts w:ascii="Arial Narrow" w:hAnsi="Arial Narrow"/>
                <w:b/>
              </w:rPr>
              <w:t>Le Forfait : …………………………………………………………………</w:t>
            </w:r>
          </w:p>
        </w:tc>
        <w:tc>
          <w:tcPr>
            <w:tcW w:w="850"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36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0" w:after="240"/>
              <w:jc w:val="center"/>
              <w:rPr>
                <w:rFonts w:ascii="Arial Narrow" w:hAnsi="Arial Narrow"/>
                <w:b/>
                <w:b/>
              </w:rPr>
            </w:pPr>
            <w:r>
              <w:rPr>
                <w:rFonts w:ascii="Arial Narrow" w:hAnsi="Arial Narrow"/>
                <w:b/>
              </w:rPr>
              <w:t>FT</w:t>
            </w:r>
          </w:p>
        </w:tc>
        <w:tc>
          <w:tcPr>
            <w:tcW w:w="1583" w:type="dxa"/>
            <w:gridSpan w:val="2"/>
            <w:tcBorders>
              <w:top w:val="double" w:sz="4" w:space="0" w:color="000000"/>
              <w:left w:val="single" w:sz="4" w:space="0" w:color="000000"/>
              <w:bottom w:val="double" w:sz="4" w:space="0" w:color="000000"/>
              <w:right w:val="single" w:sz="4" w:space="0" w:color="000000"/>
            </w:tcBorders>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39" w:type="dxa"/>
            <w:tcBorders>
              <w:top w:val="double" w:sz="4" w:space="0" w:color="000000"/>
              <w:left w:val="single" w:sz="4" w:space="0" w:color="000000"/>
              <w:bottom w:val="double" w:sz="4" w:space="0" w:color="000000"/>
              <w:right w:val="double" w:sz="4" w:space="0" w:color="000000"/>
            </w:tcBorders>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227" w:hRule="atLeast"/>
        </w:trPr>
        <w:tc>
          <w:tcPr>
            <w:tcW w:w="850" w:type="dxa"/>
            <w:gridSpan w:val="2"/>
            <w:tcBorders>
              <w:top w:val="double" w:sz="4" w:space="0" w:color="000000"/>
              <w:left w:val="double" w:sz="4" w:space="0" w:color="000000"/>
              <w:bottom w:val="double" w:sz="4" w:space="0" w:color="000000"/>
              <w:right w:val="single" w:sz="2" w:space="0" w:color="000000"/>
            </w:tcBorders>
          </w:tcPr>
          <w:p>
            <w:pPr>
              <w:pStyle w:val="Titre1"/>
              <w:keepNext w:val="false"/>
              <w:widowControl w:val="false"/>
              <w:tabs>
                <w:tab w:val="clear" w:pos="6804"/>
              </w:tabs>
              <w:spacing w:before="120" w:after="120"/>
              <w:jc w:val="center"/>
              <w:rPr>
                <w:rFonts w:ascii="Arial Narrow" w:hAnsi="Arial Narrow"/>
              </w:rPr>
            </w:pPr>
            <w:r>
              <w:rPr>
                <w:rFonts w:ascii="Arial Narrow" w:hAnsi="Arial Narrow"/>
              </w:rPr>
              <w:t>2.1.1</w:t>
            </w:r>
          </w:p>
        </w:tc>
        <w:tc>
          <w:tcPr>
            <w:tcW w:w="10065" w:type="dxa"/>
            <w:gridSpan w:val="2"/>
            <w:tcBorders>
              <w:top w:val="double" w:sz="4" w:space="0" w:color="000000"/>
              <w:bottom w:val="double" w:sz="4" w:space="0" w:color="000000"/>
              <w:right w:val="single" w:sz="4" w:space="0" w:color="000000"/>
            </w:tcBorders>
          </w:tcPr>
          <w:p>
            <w:pPr>
              <w:pStyle w:val="Titre1"/>
              <w:keepNext w:val="false"/>
              <w:widowControl w:val="false"/>
              <w:tabs>
                <w:tab w:val="clear" w:pos="6804"/>
              </w:tabs>
              <w:spacing w:before="120" w:after="120"/>
              <w:rPr>
                <w:rFonts w:ascii="Arial Narrow" w:hAnsi="Arial Narrow"/>
                <w:caps/>
              </w:rPr>
            </w:pPr>
            <w:r>
              <w:rPr>
                <w:rFonts w:ascii="Arial Narrow" w:hAnsi="Arial Narrow"/>
                <w:caps/>
              </w:rPr>
              <w:t>plus-value au prix 2.1 : demolition des fondations DU RADIER ACTUEL ET EVACUATION DES MATERIAUX</w:t>
            </w:r>
          </w:p>
          <w:p>
            <w:pPr>
              <w:pStyle w:val="Normal"/>
              <w:widowControl w:val="false"/>
              <w:spacing w:before="40" w:after="0"/>
              <w:ind w:right="-1" w:hanging="0"/>
              <w:rPr>
                <w:rFonts w:ascii="Arial Narrow" w:hAnsi="Arial Narrow"/>
              </w:rPr>
            </w:pPr>
            <w:r>
              <w:rPr>
                <w:rFonts w:ascii="Arial Narrow" w:hAnsi="Arial Narrow"/>
              </w:rPr>
              <w:t>Cette plus-value au prix 2.01 rémunère au mètre cube la démolition des fondations du radier de Beauvallon sous la cote du profil en long projet, conformément à l’article 2.30 du CCTP.</w:t>
            </w:r>
          </w:p>
          <w:p>
            <w:pPr>
              <w:pStyle w:val="Normal"/>
              <w:widowControl w:val="false"/>
              <w:spacing w:before="40" w:after="0"/>
              <w:ind w:right="-1" w:hanging="0"/>
              <w:rPr>
                <w:rFonts w:ascii="Arial Narrow" w:hAnsi="Arial Narrow"/>
              </w:rPr>
            </w:pPr>
            <w:r>
              <w:rPr>
                <w:rFonts w:ascii="Arial Narrow" w:hAnsi="Arial Narrow"/>
              </w:rPr>
              <w:t>Ce prix comprend notamment :</w:t>
            </w:r>
          </w:p>
          <w:p>
            <w:pPr>
              <w:pStyle w:val="Normal"/>
              <w:widowControl w:val="false"/>
              <w:rPr>
                <w:rFonts w:ascii="Arial Narrow" w:hAnsi="Arial Narrow" w:cs="Arial"/>
              </w:rPr>
            </w:pPr>
            <w:r>
              <w:rPr>
                <w:rFonts w:cs="Arial" w:ascii="Arial Narrow" w:hAnsi="Arial Narrow"/>
              </w:rPr>
              <w:t>- La démolition par engins mécaniques ou manuels des fondations du radier, dans le cas où les fondations de l’ouvrage sont plus profondes que la côte projet définie et présentée sur le profil en long de la rivière des Roches ;</w:t>
            </w:r>
          </w:p>
          <w:p>
            <w:pPr>
              <w:pStyle w:val="Normal"/>
              <w:widowControl w:val="false"/>
              <w:rPr>
                <w:rFonts w:ascii="Arial Narrow" w:hAnsi="Arial Narrow" w:cs="Arial"/>
              </w:rPr>
            </w:pPr>
            <w:r>
              <w:rPr>
                <w:rFonts w:cs="Arial" w:ascii="Arial Narrow" w:hAnsi="Arial Narrow"/>
              </w:rPr>
              <w:t>- L'évacuation des gravats (chargement, transport et déchargement) quelle que soit la distance des zones de mise en dépôt définitif par l'entrepreneur ainsi que les frais et droits de décharge,</w:t>
            </w:r>
          </w:p>
          <w:p>
            <w:pPr>
              <w:pStyle w:val="Normal"/>
              <w:widowControl w:val="false"/>
              <w:rPr>
                <w:rFonts w:ascii="Arial Narrow" w:hAnsi="Arial Narrow" w:cs="Arial"/>
              </w:rPr>
            </w:pPr>
            <w:r>
              <w:rPr>
                <w:rFonts w:cs="Arial" w:ascii="Arial Narrow" w:hAnsi="Arial Narrow"/>
              </w:rPr>
              <w:t>- La mise en œuvre de matériaux alluvionnaires issues du reprofilage du lit mineur en lieu et place des fondations afin d’obtenir la côte altimétrique et le profil en long projet ;</w:t>
            </w:r>
          </w:p>
          <w:p>
            <w:pPr>
              <w:pStyle w:val="Normal"/>
              <w:widowControl w:val="false"/>
              <w:rPr>
                <w:rFonts w:ascii="Arial Narrow" w:hAnsi="Arial Narrow" w:cs="Arial"/>
              </w:rPr>
            </w:pPr>
            <w:r>
              <w:rPr>
                <w:rFonts w:cs="Arial" w:ascii="Arial Narrow" w:hAnsi="Arial Narrow"/>
              </w:rPr>
              <w:t>- Toutes sujétions diverses de démolition ;</w:t>
            </w:r>
          </w:p>
          <w:p>
            <w:pPr>
              <w:pStyle w:val="Normal"/>
              <w:widowControl w:val="false"/>
              <w:rPr>
                <w:rFonts w:ascii="Arial Narrow" w:hAnsi="Arial Narrow" w:cs="Arial"/>
              </w:rPr>
            </w:pPr>
            <w:r>
              <w:rPr>
                <w:rFonts w:cs="Arial" w:ascii="Arial Narrow" w:hAnsi="Arial Narrow"/>
              </w:rPr>
              <w:t>- Toutes sujétions de confortements, de signalisations et de mise en sécurité du site.</w:t>
            </w:r>
          </w:p>
          <w:p>
            <w:pPr>
              <w:pStyle w:val="Normal"/>
              <w:widowControl w:val="false"/>
              <w:rPr>
                <w:rFonts w:ascii="Arial Narrow" w:hAnsi="Arial Narrow" w:cs="Arial"/>
              </w:rPr>
            </w:pPr>
            <w:r>
              <w:rPr>
                <w:rFonts w:cs="Arial" w:ascii="Arial Narrow" w:hAnsi="Arial Narrow"/>
              </w:rPr>
            </w:r>
          </w:p>
          <w:p>
            <w:pPr>
              <w:pStyle w:val="Puce1"/>
              <w:widowControl w:val="false"/>
              <w:numPr>
                <w:ilvl w:val="0"/>
                <w:numId w:val="0"/>
              </w:numPr>
              <w:spacing w:before="120" w:after="120"/>
              <w:ind w:left="0" w:hanging="0"/>
              <w:rPr>
                <w:rFonts w:ascii="Arial Narrow" w:hAnsi="Arial Narrow"/>
                <w:b/>
                <w:b/>
              </w:rPr>
            </w:pPr>
            <w:r>
              <w:rPr>
                <w:rFonts w:ascii="Arial Narrow" w:hAnsi="Arial Narrow"/>
                <w:b/>
              </w:rPr>
              <w:t>Le Mètre Cube : ……………………………………………………………………</w:t>
            </w:r>
          </w:p>
          <w:p>
            <w:pPr>
              <w:pStyle w:val="Titre1"/>
              <w:keepNext w:val="false"/>
              <w:widowControl w:val="false"/>
              <w:tabs>
                <w:tab w:val="clear" w:pos="6804"/>
              </w:tabs>
              <w:spacing w:before="120" w:after="120"/>
              <w:rPr>
                <w:rFonts w:ascii="Arial Narrow" w:hAnsi="Arial Narrow"/>
                <w:caps/>
              </w:rPr>
            </w:pPr>
            <w:r>
              <w:rPr>
                <w:rFonts w:ascii="Arial Narrow" w:hAnsi="Arial Narrow"/>
                <w:caps/>
              </w:rPr>
            </w:r>
          </w:p>
          <w:p>
            <w:pPr>
              <w:pStyle w:val="Normal"/>
              <w:widowControl w:val="false"/>
              <w:tabs>
                <w:tab w:val="clear" w:pos="6804"/>
              </w:tabs>
              <w:spacing w:before="120" w:after="120"/>
              <w:rPr>
                <w:rFonts w:ascii="Arial Narrow" w:hAnsi="Arial Narrow"/>
                <w:caps/>
              </w:rPr>
            </w:pPr>
            <w:r>
              <w:rPr>
                <w:rFonts w:ascii="Arial Narrow" w:hAnsi="Arial Narrow"/>
                <w:caps/>
              </w:rPr>
            </w:r>
          </w:p>
          <w:p>
            <w:pPr>
              <w:pStyle w:val="Normal"/>
              <w:widowControl w:val="false"/>
              <w:tabs>
                <w:tab w:val="clear" w:pos="6804"/>
              </w:tabs>
              <w:spacing w:before="120" w:after="120"/>
              <w:rPr>
                <w:rFonts w:ascii="Arial Narrow" w:hAnsi="Arial Narrow"/>
                <w:caps/>
              </w:rPr>
            </w:pPr>
            <w:r>
              <w:rPr>
                <w:rFonts w:ascii="Arial Narrow" w:hAnsi="Arial Narrow"/>
                <w:caps/>
              </w:rPr>
            </w:r>
          </w:p>
        </w:tc>
        <w:tc>
          <w:tcPr>
            <w:tcW w:w="850"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M³</w:t>
            </w:r>
          </w:p>
          <w:p>
            <w:pPr>
              <w:pStyle w:val="Entte"/>
              <w:widowControl w:val="false"/>
              <w:tabs>
                <w:tab w:val="clear" w:pos="4536"/>
                <w:tab w:val="clear" w:pos="6804"/>
                <w:tab w:val="clear" w:pos="9072"/>
                <w:tab w:val="right" w:pos="2059" w:leader="dot"/>
              </w:tabs>
              <w:spacing w:before="120" w:after="120"/>
              <w:rPr>
                <w:rFonts w:ascii="Arial Narrow" w:hAnsi="Arial Narrow"/>
                <w:b/>
                <w:b/>
              </w:rPr>
            </w:pPr>
            <w:r>
              <w:rPr>
                <w:rFonts w:ascii="Arial Narrow" w:hAnsi="Arial Narrow"/>
                <w:b/>
              </w:rPr>
            </w:r>
          </w:p>
        </w:tc>
        <w:tc>
          <w:tcPr>
            <w:tcW w:w="1583" w:type="dxa"/>
            <w:gridSpan w:val="2"/>
            <w:tcBorders>
              <w:top w:val="double" w:sz="4" w:space="0" w:color="000000"/>
              <w:left w:val="single" w:sz="4" w:space="0" w:color="000000"/>
              <w:bottom w:val="double" w:sz="4" w:space="0" w:color="000000"/>
              <w:right w:val="single" w:sz="4" w:space="0" w:color="000000"/>
            </w:tcBorders>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39" w:type="dxa"/>
            <w:tcBorders>
              <w:top w:val="double" w:sz="4" w:space="0" w:color="000000"/>
              <w:left w:val="single" w:sz="4" w:space="0" w:color="000000"/>
              <w:bottom w:val="double" w:sz="4" w:space="0" w:color="000000"/>
              <w:right w:val="double" w:sz="4" w:space="0" w:color="000000"/>
            </w:tcBorders>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227" w:hRule="atLeast"/>
        </w:trPr>
        <w:tc>
          <w:tcPr>
            <w:tcW w:w="850" w:type="dxa"/>
            <w:gridSpan w:val="2"/>
            <w:tcBorders>
              <w:top w:val="double" w:sz="4" w:space="0" w:color="000000"/>
              <w:left w:val="double" w:sz="4" w:space="0" w:color="000000"/>
              <w:bottom w:val="double" w:sz="4" w:space="0" w:color="000000"/>
              <w:right w:val="single" w:sz="2" w:space="0" w:color="000000"/>
            </w:tcBorders>
          </w:tcPr>
          <w:p>
            <w:pPr>
              <w:pStyle w:val="Titre1"/>
              <w:keepNext w:val="false"/>
              <w:widowControl w:val="false"/>
              <w:tabs>
                <w:tab w:val="clear" w:pos="6804"/>
              </w:tabs>
              <w:spacing w:before="120" w:after="120"/>
              <w:jc w:val="center"/>
              <w:rPr>
                <w:rFonts w:ascii="Arial Narrow" w:hAnsi="Arial Narrow"/>
              </w:rPr>
            </w:pPr>
            <w:r>
              <w:rPr>
                <w:rFonts w:ascii="Arial Narrow" w:hAnsi="Arial Narrow"/>
              </w:rPr>
              <w:t>2.2</w:t>
            </w:r>
          </w:p>
        </w:tc>
        <w:tc>
          <w:tcPr>
            <w:tcW w:w="10065" w:type="dxa"/>
            <w:gridSpan w:val="2"/>
            <w:tcBorders>
              <w:top w:val="double" w:sz="4" w:space="0" w:color="000000"/>
              <w:bottom w:val="double" w:sz="4" w:space="0" w:color="000000"/>
              <w:right w:val="single" w:sz="4" w:space="0" w:color="000000"/>
            </w:tcBorders>
          </w:tcPr>
          <w:p>
            <w:pPr>
              <w:pStyle w:val="Normal"/>
              <w:widowControl w:val="false"/>
              <w:spacing w:before="40" w:after="0"/>
              <w:ind w:right="-1" w:hanging="0"/>
              <w:rPr>
                <w:rFonts w:ascii="Arial Narrow" w:hAnsi="Arial Narrow"/>
              </w:rPr>
            </w:pPr>
            <w:r>
              <w:rPr>
                <w:rFonts w:ascii="Arial Narrow" w:hAnsi="Arial Narrow"/>
                <w:b/>
                <w:caps/>
              </w:rPr>
              <w:t>TERRASSEMENT EN DEBLAIS POUR REPROFILAGE DU LIT MINEUR ET DES BERGES</w:t>
            </w:r>
          </w:p>
          <w:p>
            <w:pPr>
              <w:pStyle w:val="Normal"/>
              <w:widowControl w:val="false"/>
              <w:spacing w:before="40" w:after="0"/>
              <w:ind w:right="-1" w:hanging="0"/>
              <w:rPr>
                <w:rFonts w:ascii="Arial Narrow" w:hAnsi="Arial Narrow"/>
              </w:rPr>
            </w:pPr>
            <w:r>
              <w:rPr>
                <w:rFonts w:ascii="Arial Narrow" w:hAnsi="Arial Narrow"/>
              </w:rPr>
            </w:r>
          </w:p>
          <w:p>
            <w:pPr>
              <w:pStyle w:val="Normal"/>
              <w:widowControl w:val="false"/>
              <w:spacing w:before="40" w:after="0"/>
              <w:ind w:right="-1" w:hanging="0"/>
              <w:rPr>
                <w:rFonts w:ascii="Arial Narrow" w:hAnsi="Arial Narrow"/>
              </w:rPr>
            </w:pPr>
            <w:r>
              <w:rPr>
                <w:rFonts w:ascii="Arial Narrow" w:hAnsi="Arial Narrow"/>
              </w:rPr>
              <w:t>Ce prix rémunère au mètre cube, l’ensemble des terrassements en déblais sur le site des travaux.</w:t>
            </w:r>
          </w:p>
          <w:p>
            <w:pPr>
              <w:pStyle w:val="Normal"/>
              <w:widowControl w:val="false"/>
              <w:spacing w:lineRule="exact" w:line="24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le stockage sur site des déblais pour potentielle réutilisation ultérieure ;</w:t>
            </w:r>
          </w:p>
          <w:p>
            <w:pPr>
              <w:pStyle w:val="ListParagraph"/>
              <w:widowControl w:val="false"/>
              <w:numPr>
                <w:ilvl w:val="0"/>
                <w:numId w:val="2"/>
              </w:numPr>
              <w:rPr>
                <w:rFonts w:ascii="Arial Narrow" w:hAnsi="Arial Narrow" w:cs="Arial"/>
              </w:rPr>
            </w:pPr>
            <w:r>
              <w:rPr>
                <w:rFonts w:cs="Arial" w:ascii="Arial Narrow" w:hAnsi="Arial Narrow"/>
              </w:rPr>
              <w:t>l’évacuation en décharge agréée des déblais excédentaires ;</w:t>
            </w:r>
          </w:p>
          <w:p>
            <w:pPr>
              <w:pStyle w:val="ListParagraph"/>
              <w:widowControl w:val="false"/>
              <w:numPr>
                <w:ilvl w:val="0"/>
                <w:numId w:val="2"/>
              </w:numPr>
              <w:rPr>
                <w:rFonts w:ascii="Arial Narrow" w:hAnsi="Arial Narrow" w:cs="Arial"/>
              </w:rPr>
            </w:pPr>
            <w:r>
              <w:rPr>
                <w:rFonts w:cs="Arial" w:ascii="Arial Narrow" w:hAnsi="Arial Narrow"/>
              </w:rPr>
              <w:t>toutes les précautions nécessaires à la non déstabilisation des berges et talus existants ;</w:t>
            </w:r>
          </w:p>
          <w:p>
            <w:pPr>
              <w:pStyle w:val="ListParagraph"/>
              <w:widowControl w:val="false"/>
              <w:numPr>
                <w:ilvl w:val="0"/>
                <w:numId w:val="2"/>
              </w:numPr>
              <w:rPr>
                <w:rFonts w:ascii="Arial Narrow" w:hAnsi="Arial Narrow" w:cs="Arial"/>
              </w:rPr>
            </w:pPr>
            <w:r>
              <w:rPr>
                <w:rFonts w:cs="Arial" w:ascii="Arial Narrow" w:hAnsi="Arial Narrow"/>
              </w:rPr>
              <w:t>L’utilisation d’un BRH si nécessaire ;</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rPr>
                <w:rFonts w:ascii="Arial Narrow" w:hAnsi="Arial Narrow" w:cs="Arial"/>
              </w:rPr>
            </w:pPr>
            <w:r>
              <w:rPr>
                <w:rFonts w:cs="Arial" w:ascii="Arial Narrow" w:hAnsi="Arial Narrow"/>
              </w:rPr>
            </w:r>
          </w:p>
          <w:p>
            <w:pPr>
              <w:pStyle w:val="Puce1"/>
              <w:widowControl w:val="false"/>
              <w:numPr>
                <w:ilvl w:val="0"/>
                <w:numId w:val="0"/>
              </w:numPr>
              <w:spacing w:before="120" w:after="120"/>
              <w:ind w:left="0" w:hanging="0"/>
              <w:rPr>
                <w:rFonts w:ascii="Arial Narrow" w:hAnsi="Arial Narrow"/>
                <w:b/>
                <w:b/>
              </w:rPr>
            </w:pPr>
            <w:r>
              <w:rPr>
                <w:rFonts w:ascii="Arial Narrow" w:hAnsi="Arial Narrow"/>
                <w:b/>
              </w:rPr>
              <w:t>Le Mètre Cube : ……………………………………………………………………</w:t>
            </w:r>
          </w:p>
        </w:tc>
        <w:tc>
          <w:tcPr>
            <w:tcW w:w="850"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M³</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1583"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39" w:type="dxa"/>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805" w:hRule="atLeast"/>
        </w:trPr>
        <w:tc>
          <w:tcPr>
            <w:tcW w:w="850" w:type="dxa"/>
            <w:gridSpan w:val="2"/>
            <w:tcBorders>
              <w:top w:val="double" w:sz="4" w:space="0" w:color="000000"/>
              <w:left w:val="double" w:sz="4" w:space="0" w:color="000000"/>
              <w:bottom w:val="double" w:sz="4" w:space="0" w:color="000000"/>
              <w:right w:val="single" w:sz="2" w:space="0" w:color="000000"/>
            </w:tcBorders>
          </w:tcPr>
          <w:p>
            <w:pPr>
              <w:pStyle w:val="Titre1"/>
              <w:keepNext w:val="false"/>
              <w:widowControl w:val="false"/>
              <w:tabs>
                <w:tab w:val="clear" w:pos="6804"/>
              </w:tabs>
              <w:spacing w:before="120" w:after="120"/>
              <w:jc w:val="center"/>
              <w:rPr>
                <w:rFonts w:ascii="Arial Narrow" w:hAnsi="Arial Narrow"/>
              </w:rPr>
            </w:pPr>
            <w:r>
              <w:rPr>
                <w:rFonts w:ascii="Arial Narrow" w:hAnsi="Arial Narrow"/>
              </w:rPr>
              <w:t>2.3</w:t>
            </w:r>
          </w:p>
        </w:tc>
        <w:tc>
          <w:tcPr>
            <w:tcW w:w="10065" w:type="dxa"/>
            <w:gridSpan w:val="2"/>
            <w:tcBorders>
              <w:top w:val="double" w:sz="4" w:space="0" w:color="000000"/>
              <w:bottom w:val="double" w:sz="4" w:space="0" w:color="000000"/>
              <w:right w:val="single" w:sz="4" w:space="0" w:color="000000"/>
            </w:tcBorders>
          </w:tcPr>
          <w:p>
            <w:pPr>
              <w:pStyle w:val="Normal"/>
              <w:widowControl w:val="false"/>
              <w:spacing w:before="40" w:after="0"/>
              <w:ind w:right="-1" w:hanging="0"/>
              <w:rPr>
                <w:rFonts w:ascii="Arial Narrow" w:hAnsi="Arial Narrow"/>
              </w:rPr>
            </w:pPr>
            <w:r>
              <w:rPr>
                <w:rFonts w:ascii="Arial Narrow" w:hAnsi="Arial Narrow"/>
                <w:b/>
                <w:caps/>
              </w:rPr>
              <w:t>TERRASSEMENT EN REMBLAIS POUR REPROFILAGE DU LIT MINEUR ET DES BERGES</w:t>
            </w:r>
          </w:p>
          <w:p>
            <w:pPr>
              <w:pStyle w:val="Normal"/>
              <w:widowControl w:val="false"/>
              <w:spacing w:before="40" w:after="0"/>
              <w:ind w:right="-1" w:hanging="0"/>
              <w:rPr>
                <w:rFonts w:ascii="Arial Narrow" w:hAnsi="Arial Narrow"/>
              </w:rPr>
            </w:pPr>
            <w:r>
              <w:rPr>
                <w:rFonts w:ascii="Arial Narrow" w:hAnsi="Arial Narrow"/>
              </w:rPr>
            </w:r>
          </w:p>
          <w:p>
            <w:pPr>
              <w:pStyle w:val="Normal"/>
              <w:widowControl w:val="false"/>
              <w:spacing w:before="40" w:after="0"/>
              <w:ind w:right="-1" w:hanging="0"/>
              <w:rPr>
                <w:rFonts w:ascii="Arial Narrow" w:hAnsi="Arial Narrow"/>
              </w:rPr>
            </w:pPr>
            <w:r>
              <w:rPr>
                <w:rFonts w:ascii="Arial Narrow" w:hAnsi="Arial Narrow"/>
              </w:rPr>
              <w:t>Ce prix rémunère au mètre cube l’ensemble des terrassements en remblais au moyen de matériaux alluvionnaires issus des travaux de terrassement réalisés en déblais.</w:t>
            </w:r>
          </w:p>
          <w:p>
            <w:pPr>
              <w:pStyle w:val="Normal"/>
              <w:widowControl w:val="false"/>
              <w:spacing w:lineRule="exact" w:line="24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les terrassements en remblais conformément aux plans d’exécution ;</w:t>
            </w:r>
          </w:p>
          <w:p>
            <w:pPr>
              <w:pStyle w:val="ListParagraph"/>
              <w:widowControl w:val="false"/>
              <w:numPr>
                <w:ilvl w:val="0"/>
                <w:numId w:val="2"/>
              </w:numPr>
              <w:rPr>
                <w:rFonts w:ascii="Arial Narrow" w:hAnsi="Arial Narrow" w:cs="Arial"/>
              </w:rPr>
            </w:pPr>
            <w:r>
              <w:rPr>
                <w:rFonts w:cs="Arial" w:ascii="Arial Narrow" w:hAnsi="Arial Narrow"/>
              </w:rPr>
              <w:t>toutes les précautions nécessaires à la non déstabilisation des berges et talus existants ;</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rPr>
                <w:rFonts w:ascii="Arial Narrow" w:hAnsi="Arial Narrow" w:cs="Arial"/>
              </w:rPr>
            </w:pPr>
            <w:r>
              <w:rPr>
                <w:rFonts w:cs="Arial" w:ascii="Arial Narrow" w:hAnsi="Arial Narrow"/>
              </w:rPr>
            </w:r>
          </w:p>
          <w:p>
            <w:pPr>
              <w:pStyle w:val="Puce1"/>
              <w:widowControl w:val="false"/>
              <w:numPr>
                <w:ilvl w:val="0"/>
                <w:numId w:val="0"/>
              </w:numPr>
              <w:spacing w:before="120" w:after="120"/>
              <w:ind w:left="0" w:hanging="0"/>
              <w:rPr>
                <w:rFonts w:ascii="Arial Narrow" w:hAnsi="Arial Narrow"/>
                <w:b/>
                <w:b/>
                <w:bCs/>
              </w:rPr>
            </w:pPr>
            <w:r>
              <w:rPr>
                <w:rFonts w:ascii="Arial Narrow" w:hAnsi="Arial Narrow"/>
                <w:b/>
                <w:bCs/>
              </w:rPr>
              <w:t>Le Mètre Cube : ……………………………………………………………………</w:t>
            </w:r>
          </w:p>
        </w:tc>
        <w:tc>
          <w:tcPr>
            <w:tcW w:w="850"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M³</w:t>
            </w:r>
          </w:p>
        </w:tc>
        <w:tc>
          <w:tcPr>
            <w:tcW w:w="1583" w:type="dxa"/>
            <w:gridSpan w:val="2"/>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39" w:type="dxa"/>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bl>
    <w:p>
      <w:pPr>
        <w:pStyle w:val="Normal"/>
        <w:tabs>
          <w:tab w:val="clear" w:pos="6804"/>
        </w:tabs>
        <w:rPr>
          <w:rFonts w:ascii="Arial Narrow" w:hAnsi="Arial Narrow"/>
          <w:sz w:val="2"/>
          <w:szCs w:val="2"/>
        </w:rPr>
      </w:pPr>
      <w:r>
        <w:rPr>
          <w:rFonts w:ascii="Arial Narrow" w:hAnsi="Arial Narrow"/>
          <w:sz w:val="2"/>
          <w:szCs w:val="2"/>
        </w:rPr>
      </w:r>
    </w:p>
    <w:p>
      <w:pPr>
        <w:pStyle w:val="Normal"/>
        <w:tabs>
          <w:tab w:val="clear" w:pos="6804"/>
        </w:tabs>
        <w:rPr>
          <w:rFonts w:ascii="Arial Narrow" w:hAnsi="Arial Narrow"/>
          <w:sz w:val="2"/>
          <w:szCs w:val="2"/>
        </w:rPr>
      </w:pPr>
      <w:r>
        <w:rPr>
          <w:rFonts w:ascii="Arial Narrow" w:hAnsi="Arial Narrow"/>
          <w:sz w:val="2"/>
          <w:szCs w:val="2"/>
        </w:rPr>
      </w:r>
    </w:p>
    <w:p>
      <w:pPr>
        <w:pStyle w:val="Normal"/>
        <w:tabs>
          <w:tab w:val="clear" w:pos="6804"/>
        </w:tabs>
        <w:rPr>
          <w:rFonts w:ascii="Arial Narrow" w:hAnsi="Arial Narrow"/>
          <w:sz w:val="2"/>
          <w:szCs w:val="2"/>
        </w:rPr>
      </w:pPr>
      <w:r>
        <w:rPr>
          <w:rFonts w:ascii="Arial Narrow" w:hAnsi="Arial Narrow"/>
          <w:sz w:val="2"/>
          <w:szCs w:val="2"/>
        </w:rPr>
      </w:r>
    </w:p>
    <w:p>
      <w:pPr>
        <w:sectPr>
          <w:headerReference w:type="default" r:id="rId5"/>
          <w:footerReference w:type="default" r:id="rId6"/>
          <w:type w:val="nextPage"/>
          <w:pgSz w:orient="landscape" w:w="16838" w:h="11906"/>
          <w:pgMar w:left="1134" w:right="1134" w:header="0" w:top="1134" w:footer="1134" w:bottom="1681" w:gutter="0"/>
          <w:pgNumType w:fmt="decimal"/>
          <w:formProt w:val="false"/>
          <w:textDirection w:val="lrTb"/>
          <w:docGrid w:type="default" w:linePitch="100" w:charSpace="0"/>
        </w:sectPr>
        <w:pStyle w:val="Normal"/>
        <w:tabs>
          <w:tab w:val="clear" w:pos="6804"/>
        </w:tabs>
        <w:rPr>
          <w:rFonts w:ascii="Arial Narrow" w:hAnsi="Arial Narrow"/>
          <w:sz w:val="2"/>
          <w:szCs w:val="2"/>
        </w:rPr>
      </w:pPr>
      <w:r>
        <w:rPr>
          <w:rFonts w:ascii="Arial Narrow" w:hAnsi="Arial Narrow"/>
          <w:sz w:val="2"/>
          <w:szCs w:val="2"/>
        </w:rPr>
      </w:r>
    </w:p>
    <w:tbl>
      <w:tblPr>
        <w:tblW w:w="15367" w:type="dxa"/>
        <w:jc w:val="left"/>
        <w:tblInd w:w="-214" w:type="dxa"/>
        <w:tblCellMar>
          <w:top w:w="0" w:type="dxa"/>
          <w:left w:w="70" w:type="dxa"/>
          <w:bottom w:w="0" w:type="dxa"/>
          <w:right w:w="70" w:type="dxa"/>
        </w:tblCellMar>
        <w:tblLook w:firstRow="0" w:noVBand="0" w:lastRow="0" w:firstColumn="0" w:lastColumn="0" w:noHBand="0" w:val="0000"/>
      </w:tblPr>
      <w:tblGrid>
        <w:gridCol w:w="851"/>
        <w:gridCol w:w="10065"/>
        <w:gridCol w:w="850"/>
        <w:gridCol w:w="1417"/>
        <w:gridCol w:w="2184"/>
      </w:tblGrid>
      <w:tr>
        <w:trPr>
          <w:tblHeader w:val="true"/>
          <w:trHeight w:val="567" w:hRule="atLeast"/>
        </w:trPr>
        <w:tc>
          <w:tcPr>
            <w:tcW w:w="851" w:type="dxa"/>
            <w:tcBorders>
              <w:top w:val="double" w:sz="4" w:space="0" w:color="000000"/>
              <w:left w:val="doub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N° DES PRIX</w:t>
            </w:r>
          </w:p>
        </w:tc>
        <w:tc>
          <w:tcPr>
            <w:tcW w:w="10065" w:type="dxa"/>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DESIGNATION DES FOURNITURES OU TRAVAUX </w:t>
              <w:br/>
              <w:t>(Unités et prix en lettres)</w:t>
            </w:r>
          </w:p>
        </w:tc>
        <w:tc>
          <w:tcPr>
            <w:tcW w:w="850" w:type="dxa"/>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UNITE</w:t>
            </w:r>
          </w:p>
        </w:tc>
        <w:tc>
          <w:tcPr>
            <w:tcW w:w="1417" w:type="dxa"/>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PRIX UNITAIRE (euros HT)</w:t>
            </w:r>
          </w:p>
        </w:tc>
        <w:tc>
          <w:tcPr>
            <w:tcW w:w="2184" w:type="dxa"/>
            <w:tcBorders>
              <w:top w:val="double" w:sz="4" w:space="0" w:color="000000"/>
              <w:left w:val="single" w:sz="4" w:space="0" w:color="000000"/>
              <w:bottom w:val="double" w:sz="4" w:space="0" w:color="000000"/>
              <w:right w:val="doub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PRIX </w:t>
              <w:br/>
              <w:t>(euros HT)</w:t>
            </w:r>
          </w:p>
        </w:tc>
      </w:tr>
      <w:tr>
        <w:trPr>
          <w:trHeight w:val="280" w:hRule="atLeast"/>
        </w:trPr>
        <w:tc>
          <w:tcPr>
            <w:tcW w:w="15367" w:type="dxa"/>
            <w:gridSpan w:val="5"/>
            <w:tcBorders>
              <w:left w:val="double" w:sz="4" w:space="0" w:color="000000"/>
              <w:bottom w:val="double" w:sz="4" w:space="0" w:color="000000"/>
              <w:right w:val="double" w:sz="4" w:space="0" w:color="000000"/>
            </w:tcBorders>
            <w:shd w:color="auto" w:fill="FFFF00" w:val="clear"/>
            <w:vAlign w:val="center"/>
          </w:tcPr>
          <w:p>
            <w:pPr>
              <w:pStyle w:val="Entte"/>
              <w:widowControl w:val="false"/>
              <w:tabs>
                <w:tab w:val="clear" w:pos="4536"/>
                <w:tab w:val="clear" w:pos="6804"/>
                <w:tab w:val="clear" w:pos="9072"/>
                <w:tab w:val="right" w:pos="2059" w:leader="dot"/>
              </w:tabs>
              <w:spacing w:before="80" w:after="80"/>
              <w:jc w:val="center"/>
              <w:rPr>
                <w:rFonts w:ascii="Arial Narrow" w:hAnsi="Arial Narrow"/>
                <w:b/>
                <w:b/>
              </w:rPr>
            </w:pPr>
            <w:r>
              <w:rPr>
                <w:rFonts w:ascii="Arial Narrow" w:hAnsi="Arial Narrow"/>
                <w:b/>
              </w:rPr>
              <w:t xml:space="preserve">3. MISE EN ŒUVRE DES AMENAGEMENTS </w:t>
            </w:r>
          </w:p>
        </w:tc>
      </w:tr>
      <w:tr>
        <w:trPr>
          <w:trHeight w:val="3078" w:hRule="atLeast"/>
        </w:trPr>
        <w:tc>
          <w:tcPr>
            <w:tcW w:w="851" w:type="dxa"/>
            <w:tcBorders>
              <w:top w:val="double" w:sz="4" w:space="0" w:color="000000"/>
              <w:left w:val="double" w:sz="4" w:space="0" w:color="000000"/>
              <w:bottom w:val="sing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rPr>
            </w:pPr>
            <w:r>
              <w:rPr>
                <w:rFonts w:ascii="Arial Narrow" w:hAnsi="Arial Narrow"/>
                <w:b/>
              </w:rPr>
              <w:t>3.1</w:t>
            </w:r>
          </w:p>
        </w:tc>
        <w:tc>
          <w:tcPr>
            <w:tcW w:w="10065" w:type="dxa"/>
            <w:tcBorders>
              <w:top w:val="double" w:sz="4" w:space="0" w:color="000000"/>
              <w:bottom w:val="single" w:sz="4" w:space="0" w:color="000000"/>
              <w:right w:val="single" w:sz="4" w:space="0" w:color="000000"/>
            </w:tcBorders>
          </w:tcPr>
          <w:p>
            <w:pPr>
              <w:pStyle w:val="Normal"/>
              <w:widowControl w:val="false"/>
              <w:spacing w:before="40" w:after="0"/>
              <w:ind w:right="-1" w:hanging="0"/>
              <w:rPr>
                <w:rFonts w:ascii="Arial Narrow" w:hAnsi="Arial Narrow"/>
              </w:rPr>
            </w:pPr>
            <w:r>
              <w:rPr>
                <w:rFonts w:ascii="Arial Narrow" w:hAnsi="Arial Narrow"/>
                <w:b/>
                <w:caps/>
              </w:rPr>
              <w:t>FOURNITURE ET MISE EN ŒUVRE de TERRE VEGETALE</w:t>
            </w:r>
          </w:p>
          <w:p>
            <w:pPr>
              <w:pStyle w:val="Normal"/>
              <w:widowControl w:val="false"/>
              <w:spacing w:before="40" w:after="0"/>
              <w:ind w:right="-1" w:hanging="0"/>
              <w:rPr>
                <w:rFonts w:ascii="Arial Narrow" w:hAnsi="Arial Narrow"/>
              </w:rPr>
            </w:pPr>
            <w:r>
              <w:rPr>
                <w:rFonts w:ascii="Arial Narrow" w:hAnsi="Arial Narrow"/>
              </w:rPr>
            </w:r>
          </w:p>
          <w:p>
            <w:pPr>
              <w:pStyle w:val="Normal"/>
              <w:widowControl w:val="false"/>
              <w:spacing w:before="40" w:after="0"/>
              <w:ind w:right="-1" w:hanging="0"/>
              <w:rPr>
                <w:rFonts w:ascii="Arial Narrow" w:hAnsi="Arial Narrow"/>
                <w:highlight w:val="yellow"/>
              </w:rPr>
            </w:pPr>
            <w:r>
              <w:rPr>
                <w:rFonts w:ascii="Arial Narrow" w:hAnsi="Arial Narrow"/>
              </w:rPr>
              <w:t>Ce prix rémunère au mètre cube la fourniture et la mise en œuvre d’une couche de terre végétale sur l’intégralité des talus reprofilés (rive gauche et rive droite) dans le cadre des travaux de terrassement en déblai sur une épaisseur moyenne de 30cm.</w:t>
            </w:r>
          </w:p>
          <w:p>
            <w:pPr>
              <w:pStyle w:val="Normal"/>
              <w:widowControl w:val="false"/>
              <w:spacing w:lineRule="exact" w:line="24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la réalisation (remplissage) du "boudin de géotextile biodégradable" entre les lits de plants et plançons ;</w:t>
            </w:r>
          </w:p>
          <w:p>
            <w:pPr>
              <w:pStyle w:val="ListParagraph"/>
              <w:widowControl w:val="false"/>
              <w:numPr>
                <w:ilvl w:val="0"/>
                <w:numId w:val="2"/>
              </w:numPr>
              <w:rPr>
                <w:rFonts w:ascii="Arial Narrow" w:hAnsi="Arial Narrow" w:cs="Arial"/>
              </w:rPr>
            </w:pPr>
            <w:r>
              <w:rPr>
                <w:rFonts w:cs="Arial" w:ascii="Arial Narrow" w:hAnsi="Arial Narrow"/>
              </w:rPr>
              <w:t>la mise en œuvre de terre végétale au sein de la fascine de saules ;</w:t>
            </w:r>
          </w:p>
          <w:p>
            <w:pPr>
              <w:pStyle w:val="ListParagraph"/>
              <w:widowControl w:val="false"/>
              <w:numPr>
                <w:ilvl w:val="0"/>
                <w:numId w:val="2"/>
              </w:numPr>
              <w:rPr>
                <w:rFonts w:ascii="Arial Narrow" w:hAnsi="Arial Narrow" w:cs="Arial"/>
              </w:rPr>
            </w:pPr>
            <w:r>
              <w:rPr>
                <w:rFonts w:cs="Arial" w:ascii="Arial Narrow" w:hAnsi="Arial Narrow"/>
              </w:rPr>
              <w:t>la mise en place soignée sur 30cm d’épaisseur de terre végétale sur berge conformément aux CCTP et aux plans d’exécution</w:t>
            </w:r>
          </w:p>
          <w:p>
            <w:pPr>
              <w:pStyle w:val="ListParagraph"/>
              <w:widowControl w:val="false"/>
              <w:numPr>
                <w:ilvl w:val="0"/>
                <w:numId w:val="2"/>
              </w:numPr>
              <w:rPr>
                <w:rFonts w:ascii="Arial Narrow" w:hAnsi="Arial Narrow" w:cs="Arial"/>
              </w:rPr>
            </w:pPr>
            <w:r>
              <w:rPr>
                <w:rFonts w:cs="Arial" w:ascii="Arial Narrow" w:hAnsi="Arial Narrow"/>
              </w:rPr>
              <w:t>le contrôle interne de la bonne mise en œuvre (épaisseur, homogénéité, etc.)</w:t>
            </w:r>
          </w:p>
          <w:p>
            <w:pPr>
              <w:pStyle w:val="ListParagraph"/>
              <w:widowControl w:val="false"/>
              <w:numPr>
                <w:ilvl w:val="0"/>
                <w:numId w:val="2"/>
              </w:numPr>
              <w:rPr>
                <w:rFonts w:ascii="Arial Narrow" w:hAnsi="Arial Narrow" w:cs="Arial"/>
              </w:rPr>
            </w:pPr>
            <w:r>
              <w:rPr>
                <w:rFonts w:cs="Arial" w:ascii="Arial Narrow" w:hAnsi="Arial Narrow"/>
              </w:rPr>
              <w:t>toutes les précautions nécessaires à la non déstabilisation des berges et talus existants ;</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rPr>
                <w:rFonts w:ascii="Arial Narrow" w:hAnsi="Arial Narrow" w:cs="Arial"/>
              </w:rPr>
            </w:pPr>
            <w:r>
              <w:rPr>
                <w:rFonts w:cs="Arial" w:ascii="Arial Narrow" w:hAnsi="Arial Narrow"/>
              </w:rPr>
            </w:r>
          </w:p>
          <w:p>
            <w:pPr>
              <w:pStyle w:val="Normal"/>
              <w:widowControl w:val="false"/>
              <w:tabs>
                <w:tab w:val="clear" w:pos="6804"/>
              </w:tabs>
              <w:spacing w:before="120" w:after="120"/>
              <w:rPr>
                <w:rFonts w:ascii="Arial Narrow" w:hAnsi="Arial Narrow"/>
              </w:rPr>
            </w:pPr>
            <w:r>
              <w:rPr>
                <w:rFonts w:ascii="Arial Narrow" w:hAnsi="Arial Narrow"/>
                <w:b/>
              </w:rPr>
              <w:t>Le Mètre Cube : ……………………………………………………………………</w:t>
            </w:r>
          </w:p>
        </w:tc>
        <w:tc>
          <w:tcPr>
            <w:tcW w:w="850" w:type="dxa"/>
            <w:tcBorders>
              <w:top w:val="double" w:sz="4" w:space="0" w:color="000000"/>
              <w:left w:val="single" w:sz="4" w:space="0" w:color="000000"/>
              <w:bottom w:val="sing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M³</w:t>
            </w:r>
          </w:p>
        </w:tc>
        <w:tc>
          <w:tcPr>
            <w:tcW w:w="1417" w:type="dxa"/>
            <w:tcBorders>
              <w:top w:val="double" w:sz="4" w:space="0" w:color="000000"/>
              <w:left w:val="single" w:sz="4" w:space="0" w:color="000000"/>
              <w:bottom w:val="sing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84" w:type="dxa"/>
            <w:tcBorders>
              <w:top w:val="double" w:sz="4" w:space="0" w:color="000000"/>
              <w:left w:val="single" w:sz="4" w:space="0" w:color="000000"/>
              <w:bottom w:val="sing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3078" w:hRule="atLeast"/>
        </w:trPr>
        <w:tc>
          <w:tcPr>
            <w:tcW w:w="851"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rPr>
            </w:pPr>
            <w:r>
              <w:rPr>
                <w:rFonts w:ascii="Arial Narrow" w:hAnsi="Arial Narrow"/>
                <w:b/>
              </w:rPr>
              <w:t>3.2</w:t>
            </w:r>
          </w:p>
        </w:tc>
        <w:tc>
          <w:tcPr>
            <w:tcW w:w="10065" w:type="dxa"/>
            <w:tcBorders>
              <w:top w:val="double" w:sz="4" w:space="0" w:color="000000"/>
              <w:bottom w:val="double" w:sz="4" w:space="0" w:color="000000"/>
              <w:right w:val="single" w:sz="4" w:space="0" w:color="000000"/>
            </w:tcBorders>
          </w:tcPr>
          <w:p>
            <w:pPr>
              <w:pStyle w:val="Normal"/>
              <w:widowControl w:val="false"/>
              <w:spacing w:before="40" w:after="0"/>
              <w:ind w:right="-1" w:hanging="0"/>
              <w:rPr>
                <w:rFonts w:ascii="Arial Narrow" w:hAnsi="Arial Narrow"/>
              </w:rPr>
            </w:pPr>
            <w:r>
              <w:rPr>
                <w:rFonts w:ascii="Arial Narrow" w:hAnsi="Arial Narrow"/>
                <w:b/>
                <w:caps/>
              </w:rPr>
              <w:t>FOURNITURE ET MISE EN ŒUVRE DE GEOTEXTILE BIODEGRADABLE</w:t>
            </w:r>
          </w:p>
          <w:p>
            <w:pPr>
              <w:pStyle w:val="Normal"/>
              <w:widowControl w:val="false"/>
              <w:spacing w:before="40" w:after="0"/>
              <w:ind w:right="-1" w:hanging="0"/>
              <w:rPr>
                <w:rFonts w:ascii="Arial Narrow" w:hAnsi="Arial Narrow"/>
              </w:rPr>
            </w:pPr>
            <w:r>
              <w:rPr>
                <w:rFonts w:ascii="Arial Narrow" w:hAnsi="Arial Narrow"/>
              </w:rPr>
            </w:r>
          </w:p>
          <w:p>
            <w:pPr>
              <w:pStyle w:val="Normal"/>
              <w:widowControl w:val="false"/>
              <w:spacing w:before="40" w:after="0"/>
              <w:ind w:right="-1" w:hanging="0"/>
              <w:rPr>
                <w:rFonts w:ascii="Arial Narrow" w:hAnsi="Arial Narrow"/>
              </w:rPr>
            </w:pPr>
            <w:r>
              <w:rPr>
                <w:rFonts w:ascii="Arial Narrow" w:hAnsi="Arial Narrow"/>
              </w:rPr>
              <w:t>Ce prix rémunère au mètre carré la mise en œuvre d’un géotextile biodégradable sus-jacent au talus en terre végétale.</w:t>
            </w:r>
          </w:p>
          <w:p>
            <w:pPr>
              <w:pStyle w:val="Normal"/>
              <w:widowControl w:val="false"/>
              <w:spacing w:lineRule="exact" w:line="24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le positionnement du géotextile conformément aux prescriptions du CCTP, notamment dans le respect des contraintes de recouvrement ;</w:t>
            </w:r>
          </w:p>
          <w:p>
            <w:pPr>
              <w:pStyle w:val="ListParagraph"/>
              <w:widowControl w:val="false"/>
              <w:numPr>
                <w:ilvl w:val="0"/>
                <w:numId w:val="2"/>
              </w:numPr>
              <w:rPr>
                <w:rFonts w:ascii="Arial Narrow" w:hAnsi="Arial Narrow" w:cs="Arial"/>
              </w:rPr>
            </w:pPr>
            <w:r>
              <w:rPr>
                <w:rFonts w:cs="Arial" w:ascii="Arial Narrow" w:hAnsi="Arial Narrow"/>
              </w:rPr>
              <w:t>la bonne fixation du géotextile conformément aux prescriptions du CCTP, notamment dans le respect des contraintes d’ancrage en pied et en tête de talus ;</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rPr>
                <w:rFonts w:ascii="Arial Narrow" w:hAnsi="Arial Narrow" w:cs="Arial"/>
              </w:rPr>
            </w:pPr>
            <w:r>
              <w:rPr>
                <w:rFonts w:cs="Arial" w:ascii="Arial Narrow" w:hAnsi="Arial Narrow"/>
              </w:rPr>
            </w:r>
          </w:p>
          <w:p>
            <w:pPr>
              <w:pStyle w:val="Normal"/>
              <w:widowControl w:val="false"/>
              <w:tabs>
                <w:tab w:val="clear" w:pos="6804"/>
              </w:tabs>
              <w:spacing w:before="120" w:after="120"/>
              <w:rPr>
                <w:rFonts w:ascii="Arial Narrow" w:hAnsi="Arial Narrow"/>
                <w:b/>
                <w:b/>
              </w:rPr>
            </w:pPr>
            <w:r>
              <w:rPr>
                <w:rFonts w:ascii="Arial Narrow" w:hAnsi="Arial Narrow"/>
                <w:b/>
              </w:rPr>
              <w:t xml:space="preserve">3.2.1 : Pour les boudins </w:t>
            </w:r>
          </w:p>
          <w:p>
            <w:pPr>
              <w:pStyle w:val="Normal"/>
              <w:widowControl w:val="false"/>
              <w:tabs>
                <w:tab w:val="clear" w:pos="6804"/>
              </w:tabs>
              <w:spacing w:before="120" w:after="120"/>
              <w:rPr>
                <w:rFonts w:ascii="Arial Narrow" w:hAnsi="Arial Narrow"/>
                <w:b/>
                <w:b/>
              </w:rPr>
            </w:pPr>
            <w:r>
              <w:rPr>
                <w:rFonts w:ascii="Arial Narrow" w:hAnsi="Arial Narrow"/>
                <w:b/>
              </w:rPr>
              <w:t>Le Mètre Carré : ……………………………………………………………………</w:t>
            </w:r>
          </w:p>
          <w:p>
            <w:pPr>
              <w:pStyle w:val="Normal"/>
              <w:widowControl w:val="false"/>
              <w:tabs>
                <w:tab w:val="clear" w:pos="6804"/>
              </w:tabs>
              <w:spacing w:before="120" w:after="120"/>
              <w:rPr>
                <w:rFonts w:ascii="Arial Narrow" w:hAnsi="Arial Narrow"/>
                <w:b/>
                <w:b/>
              </w:rPr>
            </w:pPr>
            <w:r>
              <w:rPr>
                <w:rFonts w:ascii="Arial Narrow" w:hAnsi="Arial Narrow"/>
                <w:b/>
              </w:rPr>
              <w:t xml:space="preserve">3.2.2 : Pour recouvrement des berges </w:t>
            </w:r>
          </w:p>
          <w:p>
            <w:pPr>
              <w:pStyle w:val="Normal"/>
              <w:widowControl w:val="false"/>
              <w:tabs>
                <w:tab w:val="clear" w:pos="6804"/>
              </w:tabs>
              <w:spacing w:before="120" w:after="120"/>
              <w:rPr>
                <w:rFonts w:ascii="Arial Narrow" w:hAnsi="Arial Narrow"/>
                <w:b/>
                <w:b/>
              </w:rPr>
            </w:pPr>
            <w:r>
              <w:rPr>
                <w:rFonts w:ascii="Arial Narrow" w:hAnsi="Arial Narrow"/>
                <w:b/>
              </w:rPr>
              <w:t>Le Mètre Carré : ……………………………………………………………………</w:t>
            </w:r>
          </w:p>
        </w:tc>
        <w:tc>
          <w:tcPr>
            <w:tcW w:w="850"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M²</w:t>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M²</w:t>
            </w:r>
          </w:p>
        </w:tc>
        <w:tc>
          <w:tcPr>
            <w:tcW w:w="1417"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84" w:type="dxa"/>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bl>
    <w:p>
      <w:pPr>
        <w:sectPr>
          <w:headerReference w:type="default" r:id="rId7"/>
          <w:footerReference w:type="default" r:id="rId8"/>
          <w:type w:val="nextPage"/>
          <w:pgSz w:orient="landscape" w:w="16838" w:h="11906"/>
          <w:pgMar w:left="851" w:right="851" w:header="284" w:top="851" w:footer="567" w:bottom="851" w:gutter="0"/>
          <w:pgNumType w:fmt="decimal"/>
          <w:formProt w:val="false"/>
          <w:textDirection w:val="lrTb"/>
          <w:docGrid w:type="default" w:linePitch="100" w:charSpace="16384"/>
        </w:sectPr>
        <w:pStyle w:val="Normal"/>
        <w:rPr>
          <w:b/>
          <w:b/>
          <w:bCs/>
        </w:rPr>
      </w:pPr>
      <w:r>
        <w:rPr>
          <w:b/>
          <w:bCs/>
        </w:rPr>
      </w:r>
    </w:p>
    <w:tbl>
      <w:tblPr>
        <w:tblW w:w="15397" w:type="dxa"/>
        <w:jc w:val="left"/>
        <w:tblInd w:w="-244" w:type="dxa"/>
        <w:tblCellMar>
          <w:top w:w="0" w:type="dxa"/>
          <w:left w:w="70" w:type="dxa"/>
          <w:bottom w:w="0" w:type="dxa"/>
          <w:right w:w="70" w:type="dxa"/>
        </w:tblCellMar>
        <w:tblLook w:firstRow="0" w:noVBand="0" w:lastRow="0" w:firstColumn="0" w:lastColumn="0" w:noHBand="0" w:val="0000"/>
      </w:tblPr>
      <w:tblGrid>
        <w:gridCol w:w="851"/>
        <w:gridCol w:w="10065"/>
        <w:gridCol w:w="850"/>
        <w:gridCol w:w="1504"/>
        <w:gridCol w:w="2127"/>
      </w:tblGrid>
      <w:tr>
        <w:trPr>
          <w:trHeight w:val="280" w:hRule="atLeast"/>
        </w:trPr>
        <w:tc>
          <w:tcPr>
            <w:tcW w:w="851"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rPr>
            </w:pPr>
            <w:r>
              <w:rPr>
                <w:rFonts w:ascii="Arial Narrow" w:hAnsi="Arial Narrow"/>
                <w:b/>
              </w:rPr>
              <w:t>3.3</w:t>
            </w:r>
          </w:p>
        </w:tc>
        <w:tc>
          <w:tcPr>
            <w:tcW w:w="10065" w:type="dxa"/>
            <w:tcBorders>
              <w:top w:val="double" w:sz="4" w:space="0" w:color="000000"/>
              <w:bottom w:val="double" w:sz="4" w:space="0" w:color="000000"/>
              <w:right w:val="single" w:sz="4" w:space="0" w:color="000000"/>
            </w:tcBorders>
          </w:tcPr>
          <w:p>
            <w:pPr>
              <w:pStyle w:val="Normal"/>
              <w:widowControl w:val="false"/>
              <w:spacing w:before="40" w:after="0"/>
              <w:ind w:right="-1" w:hanging="0"/>
              <w:rPr>
                <w:rFonts w:ascii="Arial Narrow" w:hAnsi="Arial Narrow"/>
              </w:rPr>
            </w:pPr>
            <w:r>
              <w:rPr>
                <w:rFonts w:ascii="Arial Narrow" w:hAnsi="Arial Narrow"/>
                <w:b/>
                <w:caps/>
              </w:rPr>
              <w:t>FOURNITURE ET MISE EN OEUVRE DE FASCINE</w:t>
            </w:r>
          </w:p>
          <w:p>
            <w:pPr>
              <w:pStyle w:val="Normal"/>
              <w:widowControl w:val="false"/>
              <w:spacing w:before="40" w:after="0"/>
              <w:ind w:right="-1" w:hanging="0"/>
              <w:rPr>
                <w:rFonts w:ascii="Arial Narrow" w:hAnsi="Arial Narrow"/>
              </w:rPr>
            </w:pPr>
            <w:r>
              <w:rPr>
                <w:rFonts w:ascii="Arial Narrow" w:hAnsi="Arial Narrow"/>
              </w:rPr>
              <w:t>Ce prix rémunère au mètre linéaire, la fourniture et la mise en œuvre de fascine sur site conformément aux prescriptions du CCTP.</w:t>
            </w:r>
          </w:p>
          <w:p>
            <w:pPr>
              <w:pStyle w:val="Normal"/>
              <w:widowControl w:val="false"/>
              <w:spacing w:before="40" w:after="0"/>
              <w:ind w:right="-1" w:hanging="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la réalisation de la tranchée pour la mise en place des fascines ;</w:t>
            </w:r>
          </w:p>
          <w:p>
            <w:pPr>
              <w:pStyle w:val="ListParagraph"/>
              <w:widowControl w:val="false"/>
              <w:numPr>
                <w:ilvl w:val="0"/>
                <w:numId w:val="2"/>
              </w:numPr>
              <w:rPr>
                <w:rFonts w:ascii="Arial Narrow" w:hAnsi="Arial Narrow" w:cs="Arial"/>
              </w:rPr>
            </w:pPr>
            <w:r>
              <w:rPr>
                <w:rFonts w:cs="Arial" w:ascii="Arial Narrow" w:hAnsi="Arial Narrow"/>
              </w:rPr>
              <w:t>la fourniture à pied d’œuvre de pieux rond en bois imputrescible ;</w:t>
            </w:r>
          </w:p>
          <w:p>
            <w:pPr>
              <w:pStyle w:val="ListParagraph"/>
              <w:widowControl w:val="false"/>
              <w:numPr>
                <w:ilvl w:val="0"/>
                <w:numId w:val="2"/>
              </w:numPr>
              <w:rPr>
                <w:rFonts w:ascii="Arial Narrow" w:hAnsi="Arial Narrow" w:cs="Arial"/>
              </w:rPr>
            </w:pPr>
            <w:r>
              <w:rPr>
                <w:rFonts w:cs="Arial" w:ascii="Arial Narrow" w:hAnsi="Arial Narrow"/>
              </w:rPr>
              <w:t>la fourniture à pied d’œuvre des branches anti-affouillement ;</w:t>
            </w:r>
          </w:p>
          <w:p>
            <w:pPr>
              <w:pStyle w:val="ListParagraph"/>
              <w:widowControl w:val="false"/>
              <w:numPr>
                <w:ilvl w:val="0"/>
                <w:numId w:val="2"/>
              </w:numPr>
              <w:rPr>
                <w:rFonts w:ascii="Arial Narrow" w:hAnsi="Arial Narrow" w:cs="Arial"/>
              </w:rPr>
            </w:pPr>
            <w:r>
              <w:rPr>
                <w:rFonts w:cs="Arial" w:ascii="Arial Narrow" w:hAnsi="Arial Narrow"/>
              </w:rPr>
              <w:t>la fourniture à pied d’œuvre des fagots de branchages ;</w:t>
            </w:r>
          </w:p>
          <w:p>
            <w:pPr>
              <w:pStyle w:val="ListParagraph"/>
              <w:widowControl w:val="false"/>
              <w:numPr>
                <w:ilvl w:val="0"/>
                <w:numId w:val="2"/>
              </w:numPr>
              <w:rPr>
                <w:rFonts w:ascii="Arial Narrow" w:hAnsi="Arial Narrow" w:cs="Arial"/>
              </w:rPr>
            </w:pPr>
            <w:r>
              <w:rPr>
                <w:rFonts w:cs="Arial" w:ascii="Arial Narrow" w:hAnsi="Arial Narrow"/>
              </w:rPr>
              <w:t>le stockage éventuel nécessaire pendant la durée des travaux ;</w:t>
            </w:r>
          </w:p>
          <w:p>
            <w:pPr>
              <w:pStyle w:val="ListParagraph"/>
              <w:widowControl w:val="false"/>
              <w:numPr>
                <w:ilvl w:val="0"/>
                <w:numId w:val="2"/>
              </w:numPr>
              <w:rPr>
                <w:rFonts w:ascii="Arial Narrow" w:hAnsi="Arial Narrow" w:cs="Arial"/>
              </w:rPr>
            </w:pPr>
            <w:r>
              <w:rPr>
                <w:rFonts w:cs="Arial" w:ascii="Arial Narrow" w:hAnsi="Arial Narrow"/>
              </w:rPr>
              <w:t>le battage mécanique des pieux ;</w:t>
            </w:r>
          </w:p>
          <w:p>
            <w:pPr>
              <w:pStyle w:val="ListParagraph"/>
              <w:widowControl w:val="false"/>
              <w:numPr>
                <w:ilvl w:val="0"/>
                <w:numId w:val="2"/>
              </w:numPr>
              <w:rPr>
                <w:rFonts w:ascii="Arial Narrow" w:hAnsi="Arial Narrow" w:cs="Arial"/>
              </w:rPr>
            </w:pPr>
            <w:r>
              <w:rPr>
                <w:rFonts w:cs="Arial" w:ascii="Arial Narrow" w:hAnsi="Arial Narrow"/>
              </w:rPr>
              <w:t>la confection des fascines ;</w:t>
            </w:r>
          </w:p>
          <w:p>
            <w:pPr>
              <w:pStyle w:val="ListParagraph"/>
              <w:widowControl w:val="false"/>
              <w:numPr>
                <w:ilvl w:val="0"/>
                <w:numId w:val="2"/>
              </w:numPr>
              <w:rPr>
                <w:rFonts w:ascii="Arial Narrow" w:hAnsi="Arial Narrow" w:cs="Arial"/>
              </w:rPr>
            </w:pPr>
            <w:r>
              <w:rPr>
                <w:rFonts w:cs="Arial" w:ascii="Arial Narrow" w:hAnsi="Arial Narrow"/>
              </w:rPr>
              <w:t>la réalisation des liaisons de terre végétale entre les fascines et les berges ;</w:t>
            </w:r>
          </w:p>
          <w:p>
            <w:pPr>
              <w:pStyle w:val="ListParagraph"/>
              <w:widowControl w:val="false"/>
              <w:numPr>
                <w:ilvl w:val="0"/>
                <w:numId w:val="2"/>
              </w:numPr>
              <w:rPr>
                <w:rFonts w:ascii="Arial Narrow" w:hAnsi="Arial Narrow" w:cs="Arial"/>
              </w:rPr>
            </w:pPr>
            <w:r>
              <w:rPr>
                <w:rFonts w:cs="Arial" w:ascii="Arial Narrow" w:hAnsi="Arial Narrow"/>
              </w:rPr>
              <w:t>la mise en place de tasseau pour maintenir les fagots en partie supérieure</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tabs>
                <w:tab w:val="clear" w:pos="6804"/>
              </w:tabs>
              <w:spacing w:before="120" w:after="120"/>
              <w:rPr>
                <w:rFonts w:ascii="Arial Narrow" w:hAnsi="Arial Narrow"/>
              </w:rPr>
            </w:pPr>
            <w:r>
              <w:rPr>
                <w:rFonts w:ascii="Arial Narrow" w:hAnsi="Arial Narrow"/>
                <w:b/>
              </w:rPr>
              <w:t>Le Mètre linéaire  : ……………………………………………………………………</w:t>
            </w:r>
          </w:p>
        </w:tc>
        <w:tc>
          <w:tcPr>
            <w:tcW w:w="850"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ML</w:t>
            </w:r>
          </w:p>
        </w:tc>
        <w:tc>
          <w:tcPr>
            <w:tcW w:w="1504"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27" w:type="dxa"/>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851"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rPr>
            </w:pPr>
            <w:r>
              <w:rPr>
                <w:rFonts w:ascii="Arial Narrow" w:hAnsi="Arial Narrow"/>
                <w:b/>
              </w:rPr>
              <w:t>3.4</w:t>
            </w:r>
          </w:p>
        </w:tc>
        <w:tc>
          <w:tcPr>
            <w:tcW w:w="10065" w:type="dxa"/>
            <w:tcBorders>
              <w:top w:val="double" w:sz="4" w:space="0" w:color="000000"/>
              <w:bottom w:val="double" w:sz="4" w:space="0" w:color="000000"/>
              <w:right w:val="single" w:sz="4" w:space="0" w:color="000000"/>
            </w:tcBorders>
          </w:tcPr>
          <w:p>
            <w:pPr>
              <w:pStyle w:val="Normal"/>
              <w:widowControl w:val="false"/>
              <w:spacing w:before="40" w:after="0"/>
              <w:ind w:right="-1" w:hanging="0"/>
              <w:rPr>
                <w:rFonts w:ascii="Arial Narrow" w:hAnsi="Arial Narrow"/>
              </w:rPr>
            </w:pPr>
            <w:r>
              <w:rPr>
                <w:rFonts w:ascii="Arial Narrow" w:hAnsi="Arial Narrow"/>
                <w:b/>
                <w:caps/>
              </w:rPr>
              <w:t>FOURNITURE ET MISE EN OEUVRE DE LITS DE PLANTS ET PLANCONS</w:t>
            </w:r>
          </w:p>
          <w:p>
            <w:pPr>
              <w:pStyle w:val="Normal"/>
              <w:widowControl w:val="false"/>
              <w:spacing w:before="40" w:after="0"/>
              <w:ind w:right="-1" w:hanging="0"/>
              <w:rPr>
                <w:rFonts w:ascii="Arial Narrow" w:hAnsi="Arial Narrow"/>
              </w:rPr>
            </w:pPr>
            <w:r>
              <w:rPr>
                <w:rFonts w:ascii="Arial Narrow" w:hAnsi="Arial Narrow"/>
              </w:rPr>
              <w:t>Ce prix rémunère au mètre linéaire, la fourniture à pied d’œuvre de végétaux pour réaliser les lits de plants et plançons conformément aux prescriptions du CCTP et les travaux de mise en œuvre pour réalisation du massif de confortement conformément aux plans d’exécution.</w:t>
            </w:r>
          </w:p>
          <w:p>
            <w:pPr>
              <w:pStyle w:val="Normal"/>
              <w:widowControl w:val="false"/>
              <w:spacing w:before="40" w:after="0"/>
              <w:ind w:right="-1" w:hanging="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la fourniture de branches vivantes avec ramilles ou plants forestiers ;</w:t>
            </w:r>
          </w:p>
          <w:p>
            <w:pPr>
              <w:pStyle w:val="ListParagraph"/>
              <w:widowControl w:val="false"/>
              <w:numPr>
                <w:ilvl w:val="0"/>
                <w:numId w:val="2"/>
              </w:numPr>
              <w:rPr>
                <w:rFonts w:ascii="Arial Narrow" w:hAnsi="Arial Narrow" w:cs="Arial"/>
              </w:rPr>
            </w:pPr>
            <w:r>
              <w:rPr>
                <w:rFonts w:cs="Arial" w:ascii="Arial Narrow" w:hAnsi="Arial Narrow"/>
              </w:rPr>
              <w:t>le calage et le réglage général pour la mise en œuvre de terres ou géotextiles ;</w:t>
            </w:r>
          </w:p>
          <w:p>
            <w:pPr>
              <w:pStyle w:val="ListParagraph"/>
              <w:widowControl w:val="false"/>
              <w:numPr>
                <w:ilvl w:val="0"/>
                <w:numId w:val="2"/>
              </w:numPr>
              <w:rPr>
                <w:rFonts w:ascii="Arial Narrow" w:hAnsi="Arial Narrow" w:cs="Arial"/>
              </w:rPr>
            </w:pPr>
            <w:r>
              <w:rPr>
                <w:rFonts w:cs="Arial" w:ascii="Arial Narrow" w:hAnsi="Arial Narrow"/>
              </w:rPr>
              <w:t>la réalisation des lits de plants et plançons ;</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tabs>
                <w:tab w:val="clear" w:pos="6804"/>
              </w:tabs>
              <w:spacing w:before="120" w:after="120"/>
              <w:rPr>
                <w:rFonts w:ascii="Arial Narrow" w:hAnsi="Arial Narrow"/>
              </w:rPr>
            </w:pPr>
            <w:r>
              <w:rPr>
                <w:rFonts w:ascii="Arial Narrow" w:hAnsi="Arial Narrow"/>
                <w:b/>
              </w:rPr>
              <w:t>Le Mètre linéaire : ……………………………………………………………………</w:t>
            </w:r>
          </w:p>
        </w:tc>
        <w:tc>
          <w:tcPr>
            <w:tcW w:w="850"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ML</w:t>
            </w:r>
          </w:p>
        </w:tc>
        <w:tc>
          <w:tcPr>
            <w:tcW w:w="1504"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27" w:type="dxa"/>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851"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rPr>
            </w:pPr>
            <w:r>
              <w:rPr>
                <w:rFonts w:ascii="Arial Narrow" w:hAnsi="Arial Narrow"/>
                <w:b/>
              </w:rPr>
              <w:t>3.5</w:t>
            </w:r>
          </w:p>
        </w:tc>
        <w:tc>
          <w:tcPr>
            <w:tcW w:w="10065" w:type="dxa"/>
            <w:tcBorders>
              <w:top w:val="double" w:sz="4" w:space="0" w:color="000000"/>
              <w:bottom w:val="double" w:sz="4" w:space="0" w:color="000000"/>
              <w:right w:val="single" w:sz="4" w:space="0" w:color="000000"/>
            </w:tcBorders>
          </w:tcPr>
          <w:p>
            <w:pPr>
              <w:pStyle w:val="Normal"/>
              <w:widowControl w:val="false"/>
              <w:spacing w:before="40" w:after="0"/>
              <w:ind w:right="-1" w:hanging="0"/>
              <w:rPr>
                <w:rFonts w:ascii="Arial Narrow" w:hAnsi="Arial Narrow"/>
                <w:b/>
                <w:b/>
                <w:caps/>
              </w:rPr>
            </w:pPr>
            <w:r>
              <w:rPr>
                <w:rFonts w:ascii="Arial Narrow" w:hAnsi="Arial Narrow"/>
                <w:b/>
                <w:caps/>
              </w:rPr>
              <w:t>FOURNITURE ET PLANTATION D'ARBRES ET ARBUSTES A RACINES NUES</w:t>
            </w:r>
          </w:p>
          <w:p>
            <w:pPr>
              <w:pStyle w:val="Normal"/>
              <w:widowControl w:val="false"/>
              <w:spacing w:before="40" w:after="0"/>
              <w:ind w:right="-1" w:hanging="0"/>
              <w:rPr>
                <w:rFonts w:ascii="Arial Narrow" w:hAnsi="Arial Narrow"/>
              </w:rPr>
            </w:pPr>
            <w:r>
              <w:rPr>
                <w:rFonts w:ascii="Arial Narrow" w:hAnsi="Arial Narrow"/>
              </w:rPr>
              <w:t>Ce prix rémunère à l’unité, la fourniture à pied d’œuvre d’arbres et arbustes à racines nues conformément aux prescriptions du CCTP et les travaux de mise en œuvre pour leur plantation conformément aux plans d’exécution.</w:t>
            </w:r>
          </w:p>
          <w:p>
            <w:pPr>
              <w:pStyle w:val="Normal"/>
              <w:widowControl w:val="false"/>
              <w:spacing w:before="40" w:after="0"/>
              <w:ind w:right="-1" w:hanging="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le terrassement pour la fosse de plantation ;</w:t>
            </w:r>
          </w:p>
          <w:p>
            <w:pPr>
              <w:pStyle w:val="ListParagraph"/>
              <w:widowControl w:val="false"/>
              <w:numPr>
                <w:ilvl w:val="0"/>
                <w:numId w:val="2"/>
              </w:numPr>
              <w:rPr>
                <w:rFonts w:ascii="Arial Narrow" w:hAnsi="Arial Narrow" w:cs="Arial"/>
              </w:rPr>
            </w:pPr>
            <w:r>
              <w:rPr>
                <w:rFonts w:cs="Arial" w:ascii="Arial Narrow" w:hAnsi="Arial Narrow"/>
              </w:rPr>
              <w:t>la mise en place de géotextile ;</w:t>
            </w:r>
          </w:p>
          <w:p>
            <w:pPr>
              <w:pStyle w:val="ListParagraph"/>
              <w:widowControl w:val="false"/>
              <w:numPr>
                <w:ilvl w:val="0"/>
                <w:numId w:val="2"/>
              </w:numPr>
              <w:rPr>
                <w:rFonts w:ascii="Arial Narrow" w:hAnsi="Arial Narrow" w:cs="Arial"/>
              </w:rPr>
            </w:pPr>
            <w:r>
              <w:rPr>
                <w:rFonts w:cs="Arial" w:ascii="Arial Narrow" w:hAnsi="Arial Narrow"/>
              </w:rPr>
              <w:t>la mise en œuvre de paillage si nécessaire ;</w:t>
            </w:r>
          </w:p>
          <w:p>
            <w:pPr>
              <w:pStyle w:val="ListParagraph"/>
              <w:widowControl w:val="false"/>
              <w:numPr>
                <w:ilvl w:val="0"/>
                <w:numId w:val="2"/>
              </w:numPr>
              <w:rPr>
                <w:rFonts w:ascii="Arial Narrow" w:hAnsi="Arial Narrow" w:cs="Arial"/>
              </w:rPr>
            </w:pPr>
            <w:r>
              <w:rPr>
                <w:rFonts w:cs="Arial" w:ascii="Arial Narrow" w:hAnsi="Arial Narrow"/>
              </w:rPr>
              <w:t>l’arrosage et la mise en place de tuteurs si nécessaire ;</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rPr>
                <w:rFonts w:ascii="Arial Narrow" w:hAnsi="Arial Narrow" w:cs="Arial"/>
              </w:rPr>
            </w:pPr>
            <w:r>
              <w:rPr>
                <w:rFonts w:cs="Arial" w:ascii="Arial Narrow" w:hAnsi="Arial Narrow"/>
              </w:rPr>
            </w:r>
          </w:p>
          <w:p>
            <w:pPr>
              <w:pStyle w:val="Normal"/>
              <w:widowControl w:val="false"/>
              <w:spacing w:before="40" w:after="0"/>
              <w:ind w:right="-1" w:hanging="0"/>
              <w:rPr>
                <w:rFonts w:ascii="Arial Narrow" w:hAnsi="Arial Narrow"/>
                <w:b/>
                <w:b/>
                <w:caps/>
              </w:rPr>
            </w:pPr>
            <w:r>
              <w:rPr>
                <w:rFonts w:ascii="Arial Narrow" w:hAnsi="Arial Narrow"/>
                <w:b/>
              </w:rPr>
              <w:t>L’Unité : ……………………………………………………………………</w:t>
            </w:r>
          </w:p>
          <w:p>
            <w:pPr>
              <w:pStyle w:val="Normal"/>
              <w:widowControl w:val="false"/>
              <w:spacing w:before="40" w:after="0"/>
              <w:ind w:right="-1" w:hanging="0"/>
              <w:rPr>
                <w:rFonts w:ascii="Arial Narrow" w:hAnsi="Arial Narrow"/>
                <w:b/>
                <w:b/>
                <w:caps/>
              </w:rPr>
            </w:pPr>
            <w:r>
              <w:rPr>
                <w:rFonts w:ascii="Arial Narrow" w:hAnsi="Arial Narrow"/>
                <w:b/>
                <w:caps/>
              </w:rPr>
            </w:r>
          </w:p>
          <w:p>
            <w:pPr>
              <w:pStyle w:val="Normal"/>
              <w:widowControl w:val="false"/>
              <w:spacing w:before="40" w:after="0"/>
              <w:ind w:right="-1" w:hanging="0"/>
              <w:rPr>
                <w:rFonts w:ascii="Arial Narrow" w:hAnsi="Arial Narrow"/>
                <w:b/>
                <w:b/>
                <w:caps/>
              </w:rPr>
            </w:pPr>
            <w:r>
              <w:rPr>
                <w:rFonts w:ascii="Arial Narrow" w:hAnsi="Arial Narrow"/>
                <w:b/>
                <w:caps/>
              </w:rPr>
            </w:r>
          </w:p>
        </w:tc>
        <w:tc>
          <w:tcPr>
            <w:tcW w:w="850"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U</w:t>
            </w:r>
          </w:p>
        </w:tc>
        <w:tc>
          <w:tcPr>
            <w:tcW w:w="1504"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tc>
        <w:tc>
          <w:tcPr>
            <w:tcW w:w="2127" w:type="dxa"/>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r>
        <w:trPr>
          <w:trHeight w:val="280" w:hRule="atLeast"/>
        </w:trPr>
        <w:tc>
          <w:tcPr>
            <w:tcW w:w="851" w:type="dxa"/>
            <w:tcBorders>
              <w:top w:val="double" w:sz="4" w:space="0" w:color="000000"/>
              <w:left w:val="double" w:sz="4" w:space="0" w:color="000000"/>
              <w:bottom w:val="double" w:sz="4" w:space="0" w:color="000000"/>
              <w:right w:val="single" w:sz="2" w:space="0" w:color="000000"/>
            </w:tcBorders>
          </w:tcPr>
          <w:p>
            <w:pPr>
              <w:pStyle w:val="Normal"/>
              <w:widowControl w:val="false"/>
              <w:tabs>
                <w:tab w:val="clear" w:pos="6804"/>
              </w:tabs>
              <w:spacing w:before="120" w:after="120"/>
              <w:jc w:val="center"/>
              <w:rPr>
                <w:rFonts w:ascii="Arial Narrow" w:hAnsi="Arial Narrow"/>
                <w:b/>
                <w:b/>
              </w:rPr>
            </w:pPr>
            <w:r>
              <w:rPr>
                <w:rFonts w:ascii="Arial Narrow" w:hAnsi="Arial Narrow"/>
                <w:b/>
              </w:rPr>
              <w:t>3.6</w:t>
            </w:r>
          </w:p>
        </w:tc>
        <w:tc>
          <w:tcPr>
            <w:tcW w:w="10065" w:type="dxa"/>
            <w:tcBorders>
              <w:top w:val="double" w:sz="4" w:space="0" w:color="000000"/>
              <w:bottom w:val="double" w:sz="4" w:space="0" w:color="000000"/>
              <w:right w:val="single" w:sz="4" w:space="0" w:color="000000"/>
            </w:tcBorders>
          </w:tcPr>
          <w:p>
            <w:pPr>
              <w:pStyle w:val="Normal"/>
              <w:widowControl w:val="false"/>
              <w:spacing w:before="40" w:after="0"/>
              <w:ind w:right="-1" w:hanging="0"/>
              <w:rPr>
                <w:rFonts w:ascii="Arial Narrow" w:hAnsi="Arial Narrow"/>
                <w:b/>
                <w:b/>
                <w:caps/>
              </w:rPr>
            </w:pPr>
            <w:r>
              <w:rPr>
                <w:rFonts w:ascii="Arial Narrow" w:hAnsi="Arial Narrow"/>
                <w:b/>
                <w:caps/>
              </w:rPr>
              <w:t>FOURNITURE DE MELANGE GRAINIER ET ENSEMENCEMENT</w:t>
            </w:r>
          </w:p>
          <w:p>
            <w:pPr>
              <w:pStyle w:val="Normal"/>
              <w:widowControl w:val="false"/>
              <w:spacing w:before="40" w:after="0"/>
              <w:ind w:right="-1" w:hanging="0"/>
              <w:rPr>
                <w:rFonts w:ascii="Arial Narrow" w:hAnsi="Arial Narrow"/>
              </w:rPr>
            </w:pPr>
            <w:r>
              <w:rPr>
                <w:rFonts w:ascii="Arial Narrow" w:hAnsi="Arial Narrow"/>
              </w:rPr>
              <w:t>Ce prix rémunère au mètre carré de surface de talus à ensemencer, la fourniture à pied d’œuvre d’un mélange grainier conforme aux prescriptions du CCTP et l’ensemencement de l’ensemble des surfaces travaillées.</w:t>
            </w:r>
          </w:p>
          <w:p>
            <w:pPr>
              <w:pStyle w:val="Normal"/>
              <w:widowControl w:val="false"/>
              <w:spacing w:before="40" w:after="0"/>
              <w:ind w:right="-1" w:hanging="0"/>
              <w:rPr>
                <w:rFonts w:ascii="Arial Narrow" w:hAnsi="Arial Narrow"/>
              </w:rPr>
            </w:pPr>
            <w:r>
              <w:rPr>
                <w:rFonts w:ascii="Arial Narrow" w:hAnsi="Arial Narrow"/>
              </w:rPr>
              <w:t>Ce prix comprend notamment :</w:t>
            </w:r>
          </w:p>
          <w:p>
            <w:pPr>
              <w:pStyle w:val="ListParagraph"/>
              <w:widowControl w:val="false"/>
              <w:numPr>
                <w:ilvl w:val="0"/>
                <w:numId w:val="2"/>
              </w:numPr>
              <w:rPr>
                <w:rFonts w:ascii="Arial Narrow" w:hAnsi="Arial Narrow" w:cs="Arial"/>
              </w:rPr>
            </w:pPr>
            <w:r>
              <w:rPr>
                <w:rFonts w:cs="Arial" w:ascii="Arial Narrow" w:hAnsi="Arial Narrow"/>
              </w:rPr>
              <w:t>la fourniture du mélange correctement conditionné,</w:t>
            </w:r>
          </w:p>
          <w:p>
            <w:pPr>
              <w:pStyle w:val="ListParagraph"/>
              <w:widowControl w:val="false"/>
              <w:numPr>
                <w:ilvl w:val="0"/>
                <w:numId w:val="2"/>
              </w:numPr>
              <w:rPr>
                <w:rFonts w:ascii="Arial Narrow" w:hAnsi="Arial Narrow" w:cs="Arial"/>
              </w:rPr>
            </w:pPr>
            <w:r>
              <w:rPr>
                <w:rFonts w:cs="Arial" w:ascii="Arial Narrow" w:hAnsi="Arial Narrow"/>
              </w:rPr>
              <w:t>le stockage in situ dans le respect des conditions de conditionnement,</w:t>
            </w:r>
          </w:p>
          <w:p>
            <w:pPr>
              <w:pStyle w:val="ListParagraph"/>
              <w:widowControl w:val="false"/>
              <w:numPr>
                <w:ilvl w:val="0"/>
                <w:numId w:val="2"/>
              </w:numPr>
              <w:rPr>
                <w:rFonts w:ascii="Arial Narrow" w:hAnsi="Arial Narrow" w:cs="Arial"/>
              </w:rPr>
            </w:pPr>
            <w:r>
              <w:rPr>
                <w:rFonts w:cs="Arial" w:ascii="Arial Narrow" w:hAnsi="Arial Narrow"/>
              </w:rPr>
              <w:t>l’ensemencement de l’ensemble des surfaces travaillées,</w:t>
            </w:r>
          </w:p>
          <w:p>
            <w:pPr>
              <w:pStyle w:val="ListParagraph"/>
              <w:widowControl w:val="false"/>
              <w:numPr>
                <w:ilvl w:val="0"/>
                <w:numId w:val="2"/>
              </w:numPr>
              <w:rPr>
                <w:rFonts w:ascii="Arial Narrow" w:hAnsi="Arial Narrow" w:cs="Arial"/>
              </w:rPr>
            </w:pPr>
            <w:r>
              <w:rPr>
                <w:rFonts w:cs="Arial" w:ascii="Arial Narrow" w:hAnsi="Arial Narrow"/>
              </w:rPr>
              <w:t>y compris toutes sujétions.</w:t>
            </w:r>
          </w:p>
          <w:p>
            <w:pPr>
              <w:pStyle w:val="Normal"/>
              <w:widowControl w:val="false"/>
              <w:spacing w:before="40" w:after="0"/>
              <w:ind w:right="-1" w:hanging="0"/>
              <w:rPr>
                <w:rFonts w:ascii="Arial Narrow" w:hAnsi="Arial Narrow"/>
                <w:b/>
                <w:b/>
              </w:rPr>
            </w:pPr>
            <w:r>
              <w:rPr>
                <w:rFonts w:ascii="Arial Narrow" w:hAnsi="Arial Narrow"/>
                <w:b/>
              </w:rPr>
            </w:r>
          </w:p>
          <w:p>
            <w:pPr>
              <w:pStyle w:val="Normal"/>
              <w:widowControl w:val="false"/>
              <w:spacing w:before="40" w:after="40"/>
              <w:ind w:right="-1" w:hanging="0"/>
              <w:rPr>
                <w:rFonts w:ascii="Arial Narrow" w:hAnsi="Arial Narrow"/>
                <w:b/>
                <w:b/>
                <w:caps/>
              </w:rPr>
            </w:pPr>
            <w:r>
              <w:rPr>
                <w:rFonts w:ascii="Arial Narrow" w:hAnsi="Arial Narrow"/>
                <w:b/>
              </w:rPr>
              <w:t>Le Mètre Carré  : ……………………………………………………………………</w:t>
            </w:r>
          </w:p>
        </w:tc>
        <w:tc>
          <w:tcPr>
            <w:tcW w:w="850"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t>M²</w:t>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tc>
        <w:tc>
          <w:tcPr>
            <w:tcW w:w="1504"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0"/>
              <w:jc w:val="center"/>
              <w:rPr>
                <w:rFonts w:ascii="Arial Narrow" w:hAnsi="Arial Narrow"/>
                <w:b/>
                <w:b/>
              </w:rPr>
            </w:pPr>
            <w:r>
              <w:rPr>
                <w:rFonts w:ascii="Arial Narrow" w:hAnsi="Arial Narrow"/>
                <w:b/>
              </w:rPr>
            </w:r>
          </w:p>
        </w:tc>
        <w:tc>
          <w:tcPr>
            <w:tcW w:w="2127" w:type="dxa"/>
            <w:tcBorders>
              <w:top w:val="double" w:sz="4" w:space="0" w:color="000000"/>
              <w:left w:val="single" w:sz="4" w:space="0" w:color="000000"/>
              <w:bottom w:val="double" w:sz="4" w:space="0" w:color="000000"/>
              <w:right w:val="doub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r>
    </w:tbl>
    <w:p>
      <w:pPr>
        <w:pStyle w:val="Normal"/>
        <w:rPr>
          <w:b/>
          <w:b/>
          <w:bCs/>
        </w:rPr>
      </w:pPr>
      <w:r>
        <w:rPr>
          <w:b/>
          <w:bCs/>
        </w:rPr>
      </w:r>
    </w:p>
    <w:tbl>
      <w:tblPr>
        <w:tblW w:w="17559" w:type="dxa"/>
        <w:jc w:val="left"/>
        <w:tblInd w:w="-334" w:type="dxa"/>
        <w:tblCellMar>
          <w:top w:w="0" w:type="dxa"/>
          <w:left w:w="70" w:type="dxa"/>
          <w:bottom w:w="0" w:type="dxa"/>
          <w:right w:w="70" w:type="dxa"/>
        </w:tblCellMar>
        <w:tblLook w:firstRow="1" w:noVBand="1" w:lastRow="0" w:firstColumn="1" w:lastColumn="0" w:noHBand="0" w:val="04a0"/>
      </w:tblPr>
      <w:tblGrid>
        <w:gridCol w:w="934"/>
        <w:gridCol w:w="10015"/>
        <w:gridCol w:w="848"/>
        <w:gridCol w:w="1575"/>
        <w:gridCol w:w="2134"/>
        <w:gridCol w:w="829"/>
        <w:gridCol w:w="207"/>
        <w:gridCol w:w="1015"/>
      </w:tblGrid>
      <w:tr>
        <w:trPr>
          <w:trHeight w:val="567" w:hRule="atLeast"/>
        </w:trPr>
        <w:tc>
          <w:tcPr>
            <w:tcW w:w="934" w:type="dxa"/>
            <w:tcBorders>
              <w:top w:val="double" w:sz="4" w:space="0" w:color="000000"/>
              <w:left w:val="doub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N° DES PRIX</w:t>
            </w:r>
          </w:p>
        </w:tc>
        <w:tc>
          <w:tcPr>
            <w:tcW w:w="10015" w:type="dxa"/>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DÉSIGNATION DES FOURNITURES OU TRAVAUX </w:t>
              <w:br/>
              <w:t>(Unités et prix en lettres)</w:t>
            </w:r>
          </w:p>
        </w:tc>
        <w:tc>
          <w:tcPr>
            <w:tcW w:w="848" w:type="dxa"/>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UNITE</w:t>
            </w:r>
          </w:p>
        </w:tc>
        <w:tc>
          <w:tcPr>
            <w:tcW w:w="1575" w:type="dxa"/>
            <w:tcBorders>
              <w:top w:val="double" w:sz="4" w:space="0" w:color="000000"/>
              <w:left w:val="single" w:sz="4" w:space="0" w:color="000000"/>
              <w:bottom w:val="double" w:sz="4" w:space="0" w:color="000000"/>
              <w:right w:val="sing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PRIX UNITAIRE (euros HT)</w:t>
            </w:r>
          </w:p>
        </w:tc>
        <w:tc>
          <w:tcPr>
            <w:tcW w:w="2134" w:type="dxa"/>
            <w:tcBorders>
              <w:top w:val="double" w:sz="4" w:space="0" w:color="000000"/>
              <w:left w:val="single" w:sz="4" w:space="0" w:color="000000"/>
              <w:bottom w:val="double" w:sz="4" w:space="0" w:color="000000"/>
              <w:right w:val="double" w:sz="4" w:space="0" w:color="000000"/>
            </w:tcBorders>
            <w:shd w:color="000000" w:fill="FFFFFF" w:val="clear"/>
            <w:vAlign w:val="center"/>
          </w:tcPr>
          <w:p>
            <w:pPr>
              <w:pStyle w:val="Normal"/>
              <w:widowControl w:val="false"/>
              <w:tabs>
                <w:tab w:val="clear" w:pos="6804"/>
              </w:tabs>
              <w:spacing w:before="120" w:after="120"/>
              <w:jc w:val="center"/>
              <w:rPr>
                <w:rFonts w:ascii="Arial Narrow" w:hAnsi="Arial Narrow"/>
                <w:b/>
                <w:b/>
              </w:rPr>
            </w:pPr>
            <w:r>
              <w:rPr>
                <w:rFonts w:ascii="Arial Narrow" w:hAnsi="Arial Narrow"/>
                <w:b/>
              </w:rPr>
              <w:t xml:space="preserve">PRIX </w:t>
              <w:br/>
              <w:t>(euros HT)</w:t>
            </w:r>
          </w:p>
        </w:tc>
        <w:tc>
          <w:tcPr>
            <w:tcW w:w="829" w:type="dxa"/>
            <w:tcBorders/>
          </w:tcPr>
          <w:p>
            <w:pPr>
              <w:pStyle w:val="Normal"/>
              <w:widowControl w:val="false"/>
              <w:spacing w:before="40" w:after="40"/>
              <w:rPr>
                <w:b/>
                <w:b/>
                <w:bCs/>
              </w:rPr>
            </w:pPr>
            <w:r>
              <w:rPr>
                <w:b/>
                <w:bCs/>
              </w:rPr>
            </w:r>
          </w:p>
        </w:tc>
        <w:tc>
          <w:tcPr>
            <w:tcW w:w="207" w:type="dxa"/>
            <w:tcBorders/>
          </w:tcPr>
          <w:p>
            <w:pPr>
              <w:pStyle w:val="Normal"/>
              <w:widowControl w:val="false"/>
              <w:spacing w:before="40" w:after="40"/>
              <w:rPr>
                <w:b/>
                <w:b/>
                <w:bCs/>
              </w:rPr>
            </w:pPr>
            <w:r>
              <w:rPr>
                <w:b/>
                <w:bCs/>
              </w:rPr>
            </w:r>
          </w:p>
        </w:tc>
        <w:tc>
          <w:tcPr>
            <w:tcW w:w="1015" w:type="dxa"/>
            <w:tcBorders/>
          </w:tcPr>
          <w:p>
            <w:pPr>
              <w:pStyle w:val="Normal"/>
              <w:widowControl w:val="false"/>
              <w:spacing w:before="40" w:after="40"/>
              <w:rPr>
                <w:b/>
                <w:b/>
                <w:bCs/>
              </w:rPr>
            </w:pPr>
            <w:r>
              <w:rPr>
                <w:b/>
                <w:bCs/>
              </w:rPr>
            </w:r>
          </w:p>
        </w:tc>
      </w:tr>
      <w:tr>
        <w:trPr>
          <w:trHeight w:val="280" w:hRule="atLeast"/>
        </w:trPr>
        <w:tc>
          <w:tcPr>
            <w:tcW w:w="15506" w:type="dxa"/>
            <w:gridSpan w:val="5"/>
            <w:tcBorders>
              <w:left w:val="double" w:sz="4" w:space="0" w:color="000000"/>
              <w:bottom w:val="double" w:sz="4" w:space="0" w:color="000000"/>
              <w:right w:val="double" w:sz="4" w:space="0" w:color="000000"/>
            </w:tcBorders>
            <w:shd w:color="auto" w:fill="FFFF00" w:val="clear"/>
            <w:vAlign w:val="center"/>
          </w:tcPr>
          <w:p>
            <w:pPr>
              <w:pStyle w:val="Entte"/>
              <w:widowControl w:val="false"/>
              <w:tabs>
                <w:tab w:val="clear" w:pos="4536"/>
                <w:tab w:val="clear" w:pos="6804"/>
                <w:tab w:val="clear" w:pos="9072"/>
                <w:tab w:val="right" w:pos="2059" w:leader="dot"/>
              </w:tabs>
              <w:spacing w:before="80" w:after="80"/>
              <w:jc w:val="center"/>
              <w:rPr>
                <w:rFonts w:ascii="Arial Narrow" w:hAnsi="Arial Narrow"/>
                <w:b/>
                <w:b/>
              </w:rPr>
            </w:pPr>
            <w:r>
              <w:rPr>
                <w:rFonts w:ascii="Arial Narrow" w:hAnsi="Arial Narrow"/>
                <w:b/>
              </w:rPr>
              <w:t>4. GARANTIE ET ENTRETIEN DES AMENAGEMENTS</w:t>
            </w:r>
          </w:p>
        </w:tc>
        <w:tc>
          <w:tcPr>
            <w:tcW w:w="829" w:type="dxa"/>
            <w:tcBorders/>
          </w:tcPr>
          <w:p>
            <w:pPr>
              <w:pStyle w:val="Normal"/>
              <w:widowControl w:val="false"/>
              <w:spacing w:before="40" w:after="40"/>
              <w:rPr>
                <w:b/>
                <w:b/>
                <w:bCs/>
              </w:rPr>
            </w:pPr>
            <w:r>
              <w:rPr>
                <w:b/>
                <w:bCs/>
              </w:rPr>
            </w:r>
          </w:p>
        </w:tc>
        <w:tc>
          <w:tcPr>
            <w:tcW w:w="207" w:type="dxa"/>
            <w:tcBorders/>
          </w:tcPr>
          <w:p>
            <w:pPr>
              <w:pStyle w:val="Normal"/>
              <w:widowControl w:val="false"/>
              <w:spacing w:before="40" w:after="40"/>
              <w:rPr>
                <w:b/>
                <w:b/>
                <w:bCs/>
              </w:rPr>
            </w:pPr>
            <w:r>
              <w:rPr>
                <w:b/>
                <w:bCs/>
              </w:rPr>
            </w:r>
          </w:p>
        </w:tc>
        <w:tc>
          <w:tcPr>
            <w:tcW w:w="1015" w:type="dxa"/>
            <w:tcBorders/>
          </w:tcPr>
          <w:p>
            <w:pPr>
              <w:pStyle w:val="Normal"/>
              <w:widowControl w:val="false"/>
              <w:spacing w:before="40" w:after="40"/>
              <w:rPr>
                <w:b/>
                <w:b/>
                <w:bCs/>
              </w:rPr>
            </w:pPr>
            <w:r>
              <w:rPr>
                <w:b/>
                <w:bCs/>
              </w:rPr>
            </w:r>
          </w:p>
        </w:tc>
      </w:tr>
      <w:tr>
        <w:trPr>
          <w:trHeight w:val="2227" w:hRule="atLeast"/>
        </w:trPr>
        <w:tc>
          <w:tcPr>
            <w:tcW w:w="934" w:type="dxa"/>
            <w:tcBorders>
              <w:top w:val="double" w:sz="4" w:space="0" w:color="000000"/>
              <w:left w:val="double" w:sz="4" w:space="0" w:color="000000"/>
              <w:bottom w:val="double" w:sz="4" w:space="0" w:color="000000"/>
              <w:right w:val="single" w:sz="2" w:space="0" w:color="000000"/>
            </w:tcBorders>
          </w:tcPr>
          <w:p>
            <w:pPr>
              <w:pStyle w:val="Titre1"/>
              <w:keepNext w:val="false"/>
              <w:widowControl w:val="false"/>
              <w:tabs>
                <w:tab w:val="clear" w:pos="6804"/>
              </w:tabs>
              <w:spacing w:before="120" w:after="120"/>
              <w:jc w:val="center"/>
              <w:rPr>
                <w:rFonts w:ascii="Arial Narrow" w:hAnsi="Arial Narrow"/>
              </w:rPr>
            </w:pPr>
            <w:r>
              <w:rPr>
                <w:rFonts w:ascii="Arial Narrow" w:hAnsi="Arial Narrow"/>
              </w:rPr>
              <w:t>4.1</w:t>
            </w:r>
          </w:p>
        </w:tc>
        <w:tc>
          <w:tcPr>
            <w:tcW w:w="10015" w:type="dxa"/>
            <w:tcBorders>
              <w:top w:val="double" w:sz="4" w:space="0" w:color="000000"/>
              <w:bottom w:val="double" w:sz="4" w:space="0" w:color="000000"/>
              <w:right w:val="single" w:sz="4" w:space="0" w:color="000000"/>
            </w:tcBorders>
          </w:tcPr>
          <w:p>
            <w:pPr>
              <w:pStyle w:val="Titre1"/>
              <w:keepNext w:val="false"/>
              <w:widowControl w:val="false"/>
              <w:tabs>
                <w:tab w:val="clear" w:pos="6804"/>
              </w:tabs>
              <w:spacing w:before="120" w:after="120"/>
              <w:rPr>
                <w:rFonts w:ascii="Arial Narrow" w:hAnsi="Arial Narrow"/>
                <w:caps/>
              </w:rPr>
            </w:pPr>
            <w:r>
              <w:rPr>
                <w:rFonts w:ascii="Arial Narrow" w:hAnsi="Arial Narrow"/>
                <w:caps/>
              </w:rPr>
              <w:t>GARANTIE ET ENTRETIEN DES VÉGÉTAUX</w:t>
            </w:r>
          </w:p>
          <w:p>
            <w:pPr>
              <w:pStyle w:val="Normal"/>
              <w:widowControl w:val="false"/>
              <w:spacing w:before="40" w:after="0"/>
              <w:ind w:right="-1" w:hanging="0"/>
              <w:rPr>
                <w:rFonts w:ascii="Arial Narrow" w:hAnsi="Arial Narrow"/>
              </w:rPr>
            </w:pPr>
            <w:r>
              <w:rPr>
                <w:rFonts w:ascii="Arial Narrow" w:hAnsi="Arial Narrow"/>
              </w:rPr>
              <w:t>Ce prix rémunère au forfait, le suivi et l’entretien de tous les aménagements végétaux ainsi que les essences plantées.</w:t>
            </w:r>
          </w:p>
          <w:p>
            <w:pPr>
              <w:pStyle w:val="Normal"/>
              <w:widowControl w:val="false"/>
              <w:spacing w:before="40" w:after="0"/>
              <w:ind w:right="-1" w:hanging="0"/>
              <w:rPr>
                <w:rFonts w:ascii="Arial Narrow" w:hAnsi="Arial Narrow"/>
              </w:rPr>
            </w:pPr>
            <w:r>
              <w:rPr>
                <w:rFonts w:ascii="Arial Narrow" w:hAnsi="Arial Narrow"/>
              </w:rPr>
              <w:t>Ce prix comprend notamment :</w:t>
            </w:r>
          </w:p>
          <w:p>
            <w:pPr>
              <w:pStyle w:val="Normal"/>
              <w:widowControl w:val="false"/>
              <w:rPr>
                <w:rFonts w:ascii="Arial Narrow" w:hAnsi="Arial Narrow" w:cs="Arial"/>
              </w:rPr>
            </w:pPr>
            <w:r>
              <w:rPr>
                <w:rFonts w:cs="Arial" w:ascii="Arial Narrow" w:hAnsi="Arial Narrow"/>
              </w:rPr>
              <w:t>- L’élagage soigné si nécessaire ;</w:t>
            </w:r>
          </w:p>
          <w:p>
            <w:pPr>
              <w:pStyle w:val="Normal"/>
              <w:widowControl w:val="false"/>
              <w:rPr>
                <w:rFonts w:ascii="Arial Narrow" w:hAnsi="Arial Narrow" w:cs="Arial"/>
              </w:rPr>
            </w:pPr>
            <w:r>
              <w:rPr>
                <w:rFonts w:cs="Arial" w:ascii="Arial Narrow" w:hAnsi="Arial Narrow"/>
              </w:rPr>
              <w:t>- L'arrosage ;</w:t>
            </w:r>
          </w:p>
          <w:p>
            <w:pPr>
              <w:pStyle w:val="Normal"/>
              <w:widowControl w:val="false"/>
              <w:rPr>
                <w:rFonts w:ascii="Arial Narrow" w:hAnsi="Arial Narrow" w:cs="Arial"/>
              </w:rPr>
            </w:pPr>
            <w:r>
              <w:rPr>
                <w:rFonts w:cs="Arial" w:ascii="Arial Narrow" w:hAnsi="Arial Narrow"/>
              </w:rPr>
              <w:t>- le redressement ou la mise en place de tuteur ;</w:t>
            </w:r>
          </w:p>
          <w:p>
            <w:pPr>
              <w:pStyle w:val="Normal"/>
              <w:widowControl w:val="false"/>
              <w:rPr>
                <w:rFonts w:ascii="Arial Narrow" w:hAnsi="Arial Narrow" w:cs="Arial"/>
              </w:rPr>
            </w:pPr>
            <w:r>
              <w:rPr>
                <w:rFonts w:cs="Arial" w:ascii="Arial Narrow" w:hAnsi="Arial Narrow"/>
              </w:rPr>
              <w:t>- La reprise ou le remplacement si nécessaire d’une partie ou de l’ouvrage dans son intégralité ;</w:t>
            </w:r>
          </w:p>
          <w:p>
            <w:pPr>
              <w:pStyle w:val="Normal"/>
              <w:widowControl w:val="false"/>
              <w:rPr>
                <w:rFonts w:ascii="Arial Narrow" w:hAnsi="Arial Narrow" w:cs="Arial"/>
              </w:rPr>
            </w:pPr>
            <w:r>
              <w:rPr>
                <w:rFonts w:cs="Arial" w:ascii="Arial Narrow" w:hAnsi="Arial Narrow"/>
              </w:rPr>
              <w:t xml:space="preserve">  </w:t>
            </w:r>
            <w:r>
              <w:rPr>
                <w:rFonts w:cs="Arial" w:ascii="Arial Narrow" w:hAnsi="Arial Narrow"/>
              </w:rPr>
              <w:t>Toutes sujétions pour garantir le bon développement des essences et la pérennité des ouvrages.</w:t>
            </w:r>
          </w:p>
          <w:p>
            <w:pPr>
              <w:pStyle w:val="Puce1"/>
              <w:widowControl w:val="false"/>
              <w:numPr>
                <w:ilvl w:val="0"/>
                <w:numId w:val="0"/>
              </w:numPr>
              <w:spacing w:before="120" w:after="120"/>
              <w:ind w:left="0" w:hanging="0"/>
              <w:rPr>
                <w:rFonts w:ascii="Arial Narrow" w:hAnsi="Arial Narrow"/>
                <w:b/>
                <w:b/>
              </w:rPr>
            </w:pPr>
            <w:r>
              <w:rPr>
                <w:rFonts w:ascii="Arial Narrow" w:hAnsi="Arial Narrow"/>
                <w:b/>
              </w:rPr>
            </w:r>
          </w:p>
          <w:p>
            <w:pPr>
              <w:pStyle w:val="Puce1"/>
              <w:widowControl w:val="false"/>
              <w:numPr>
                <w:ilvl w:val="0"/>
                <w:numId w:val="0"/>
              </w:numPr>
              <w:spacing w:before="120" w:after="120"/>
              <w:ind w:left="0" w:hanging="0"/>
              <w:rPr>
                <w:rFonts w:ascii="Arial Narrow" w:hAnsi="Arial Narrow"/>
                <w:b/>
                <w:b/>
              </w:rPr>
            </w:pPr>
            <w:r>
              <w:rPr>
                <w:rFonts w:ascii="Arial Narrow" w:hAnsi="Arial Narrow"/>
                <w:b/>
              </w:rPr>
              <w:t>Le Forfait : …………………………………………………………………</w:t>
            </w:r>
          </w:p>
        </w:tc>
        <w:tc>
          <w:tcPr>
            <w:tcW w:w="848" w:type="dxa"/>
            <w:tcBorders>
              <w:top w:val="double" w:sz="4" w:space="0" w:color="000000"/>
              <w:left w:val="single" w:sz="4" w:space="0" w:color="000000"/>
              <w:bottom w:val="double" w:sz="4" w:space="0" w:color="000000"/>
              <w:right w:val="single" w:sz="4" w:space="0" w:color="000000"/>
            </w:tcBorders>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t>FT</w:t>
            </w:r>
          </w:p>
        </w:tc>
        <w:tc>
          <w:tcPr>
            <w:tcW w:w="1575" w:type="dxa"/>
            <w:tcBorders>
              <w:top w:val="double" w:sz="4" w:space="0" w:color="000000"/>
              <w:left w:val="single" w:sz="4" w:space="0" w:color="000000"/>
              <w:bottom w:val="double" w:sz="4" w:space="0" w:color="000000"/>
              <w:right w:val="single" w:sz="4" w:space="0" w:color="000000"/>
            </w:tcBorders>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2134" w:type="dxa"/>
            <w:tcBorders>
              <w:top w:val="double" w:sz="4" w:space="0" w:color="000000"/>
              <w:left w:val="single" w:sz="4" w:space="0" w:color="000000"/>
              <w:bottom w:val="double" w:sz="4" w:space="0" w:color="000000"/>
              <w:right w:val="double" w:sz="4" w:space="0" w:color="000000"/>
            </w:tcBorders>
            <w:vAlign w:val="center"/>
          </w:tcPr>
          <w:p>
            <w:pPr>
              <w:pStyle w:val="Entte"/>
              <w:widowControl w:val="false"/>
              <w:tabs>
                <w:tab w:val="clear" w:pos="4536"/>
                <w:tab w:val="clear" w:pos="6804"/>
                <w:tab w:val="clear" w:pos="9072"/>
                <w:tab w:val="right" w:pos="2059" w:leader="dot"/>
              </w:tabs>
              <w:spacing w:before="120" w:after="120"/>
              <w:jc w:val="center"/>
              <w:rPr>
                <w:rFonts w:ascii="Arial Narrow" w:hAnsi="Arial Narrow"/>
                <w:b/>
                <w:b/>
              </w:rPr>
            </w:pPr>
            <w:r>
              <w:rPr>
                <w:rFonts w:ascii="Arial Narrow" w:hAnsi="Arial Narrow"/>
                <w:b/>
              </w:rPr>
            </w:r>
          </w:p>
        </w:tc>
        <w:tc>
          <w:tcPr>
            <w:tcW w:w="829" w:type="dxa"/>
            <w:tcBorders/>
          </w:tcPr>
          <w:p>
            <w:pPr>
              <w:pStyle w:val="Normal"/>
              <w:widowControl w:val="false"/>
              <w:spacing w:before="40" w:after="40"/>
              <w:rPr>
                <w:b/>
                <w:b/>
                <w:bCs/>
              </w:rPr>
            </w:pPr>
            <w:r>
              <w:rPr>
                <w:b/>
                <w:bCs/>
              </w:rPr>
            </w:r>
          </w:p>
        </w:tc>
        <w:tc>
          <w:tcPr>
            <w:tcW w:w="207" w:type="dxa"/>
            <w:tcBorders/>
          </w:tcPr>
          <w:p>
            <w:pPr>
              <w:pStyle w:val="Normal"/>
              <w:widowControl w:val="false"/>
              <w:spacing w:before="40" w:after="40"/>
              <w:rPr>
                <w:b/>
                <w:b/>
                <w:bCs/>
              </w:rPr>
            </w:pPr>
            <w:r>
              <w:rPr>
                <w:b/>
                <w:bCs/>
              </w:rPr>
            </w:r>
          </w:p>
        </w:tc>
        <w:tc>
          <w:tcPr>
            <w:tcW w:w="1015" w:type="dxa"/>
            <w:tcBorders/>
          </w:tcPr>
          <w:p>
            <w:pPr>
              <w:pStyle w:val="Normal"/>
              <w:widowControl w:val="false"/>
              <w:spacing w:before="40" w:after="40"/>
              <w:rPr>
                <w:b/>
                <w:b/>
                <w:bCs/>
              </w:rPr>
            </w:pPr>
            <w:r>
              <w:rPr>
                <w:b/>
                <w:bCs/>
              </w:rPr>
            </w:r>
          </w:p>
        </w:tc>
      </w:tr>
    </w:tbl>
    <w:p>
      <w:pPr>
        <w:pStyle w:val="Normal"/>
        <w:widowControl w:val="false"/>
        <w:spacing w:before="120" w:after="120"/>
        <w:rPr>
          <w:rFonts w:ascii="Arial Narrow" w:hAnsi="Arial Narrow"/>
        </w:rPr>
      </w:pPr>
      <w:r>
        <w:rPr/>
        <mc:AlternateContent>
          <mc:Choice Requires="wps">
            <w:drawing>
              <wp:anchor behindDoc="0" distT="0" distB="0" distL="0" distR="0" simplePos="0" locked="0" layoutInCell="1" allowOverlap="1" relativeHeight="2" wp14:anchorId="588258B2">
                <wp:simplePos x="0" y="0"/>
                <wp:positionH relativeFrom="column">
                  <wp:posOffset>6775450</wp:posOffset>
                </wp:positionH>
                <wp:positionV relativeFrom="paragraph">
                  <wp:posOffset>74295</wp:posOffset>
                </wp:positionV>
                <wp:extent cx="2574925" cy="802005"/>
                <wp:effectExtent l="0" t="0" r="0" b="2540"/>
                <wp:wrapNone/>
                <wp:docPr id="2" name="Text Box 2"/>
                <a:graphic xmlns:a="http://schemas.openxmlformats.org/drawingml/2006/main">
                  <a:graphicData uri="http://schemas.microsoft.com/office/word/2010/wordprocessingShape">
                    <wps:wsp>
                      <wps:cNvSpPr/>
                      <wps:spPr>
                        <a:xfrm>
                          <a:off x="0" y="0"/>
                          <a:ext cx="2574360" cy="801360"/>
                        </a:xfrm>
                        <a:prstGeom prst="rect">
                          <a:avLst/>
                        </a:prstGeom>
                        <a:solidFill>
                          <a:srgbClr val="ffffff"/>
                        </a:solidFill>
                        <a:ln>
                          <a:noFill/>
                        </a:ln>
                      </wps:spPr>
                      <wps:style>
                        <a:lnRef idx="0"/>
                        <a:fillRef idx="0"/>
                        <a:effectRef idx="0"/>
                        <a:fontRef idx="minor"/>
                      </wps:style>
                      <wps:txbx>
                        <w:txbxContent>
                          <w:tbl>
                            <w:tblPr>
                              <w:tblW w:w="17484" w:type="dxa"/>
                              <w:jc w:val="left"/>
                              <w:tblInd w:w="-214" w:type="dxa"/>
                              <w:tblCellMar>
                                <w:top w:w="0" w:type="dxa"/>
                                <w:left w:w="70" w:type="dxa"/>
                                <w:bottom w:w="0" w:type="dxa"/>
                                <w:right w:w="70" w:type="dxa"/>
                              </w:tblCellMar>
                              <w:tblLook w:firstRow="1" w:noVBand="1" w:lastRow="0" w:firstColumn="1" w:lastColumn="0" w:noHBand="0" w:val="04a0"/>
                            </w:tblPr>
                            <w:tblGrid>
                              <w:gridCol w:w="8457"/>
                              <w:gridCol w:w="9026"/>
                            </w:tblGrid>
                            <w:tr>
                              <w:trPr>
                                <w:trHeight w:val="330" w:hRule="atLeast"/>
                              </w:trPr>
                              <w:tc>
                                <w:tcPr>
                                  <w:tcW w:w="8457" w:type="dxa"/>
                                  <w:tcBorders/>
                                  <w:vAlign w:val="bottom"/>
                                </w:tcPr>
                                <w:p>
                                  <w:pPr>
                                    <w:pStyle w:val="Contenudecadre"/>
                                    <w:widowControl w:val="false"/>
                                    <w:tabs>
                                      <w:tab w:val="clear" w:pos="6804"/>
                                    </w:tabs>
                                    <w:spacing w:before="0" w:after="0"/>
                                    <w:jc w:val="left"/>
                                    <w:rPr>
                                      <w:rFonts w:ascii="Helv" w:hAnsi="Helv"/>
                                      <w:i/>
                                      <w:i/>
                                      <w:iCs/>
                                      <w:sz w:val="22"/>
                                      <w:szCs w:val="22"/>
                                    </w:rPr>
                                  </w:pPr>
                                  <w:r>
                                    <w:rPr>
                                      <w:rFonts w:ascii="Helv" w:hAnsi="Helv"/>
                                      <w:i/>
                                      <w:iCs/>
                                      <w:sz w:val="22"/>
                                      <w:szCs w:val="22"/>
                                    </w:rPr>
                                    <w:t>Complété quant aux prix,</w:t>
                                  </w:r>
                                </w:p>
                              </w:tc>
                              <w:tc>
                                <w:tcPr>
                                  <w:tcW w:w="9026" w:type="dxa"/>
                                  <w:tcBorders/>
                                </w:tcPr>
                                <w:p>
                                  <w:pPr>
                                    <w:pStyle w:val="Contenudecadre"/>
                                    <w:widowControl w:val="false"/>
                                    <w:spacing w:before="40" w:after="40"/>
                                    <w:rPr/>
                                  </w:pPr>
                                  <w:r>
                                    <w:rPr/>
                                  </w:r>
                                </w:p>
                              </w:tc>
                            </w:tr>
                            <w:tr>
                              <w:trPr>
                                <w:trHeight w:val="315" w:hRule="atLeast"/>
                              </w:trPr>
                              <w:tc>
                                <w:tcPr>
                                  <w:tcW w:w="17483" w:type="dxa"/>
                                  <w:gridSpan w:val="2"/>
                                  <w:tcBorders/>
                                  <w:vAlign w:val="bottom"/>
                                </w:tcPr>
                                <w:p>
                                  <w:pPr>
                                    <w:pStyle w:val="Contenudecadre"/>
                                    <w:widowControl w:val="false"/>
                                    <w:tabs>
                                      <w:tab w:val="clear" w:pos="6804"/>
                                    </w:tabs>
                                    <w:spacing w:before="0" w:after="0"/>
                                    <w:jc w:val="left"/>
                                    <w:rPr>
                                      <w:rFonts w:ascii="Helv" w:hAnsi="Helv"/>
                                      <w:i/>
                                      <w:i/>
                                      <w:iCs/>
                                      <w:sz w:val="22"/>
                                      <w:szCs w:val="22"/>
                                    </w:rPr>
                                  </w:pPr>
                                  <w:r>
                                    <w:rPr>
                                      <w:rFonts w:ascii="Helv" w:hAnsi="Helv"/>
                                      <w:i/>
                                      <w:iCs/>
                                      <w:sz w:val="22"/>
                                      <w:szCs w:val="22"/>
                                    </w:rPr>
                                    <w:t>Par l'Entrepreneur dûment soussigné,</w:t>
                                  </w:r>
                                </w:p>
                              </w:tc>
                            </w:tr>
                            <w:tr>
                              <w:trPr>
                                <w:trHeight w:val="315" w:hRule="atLeast"/>
                              </w:trPr>
                              <w:tc>
                                <w:tcPr>
                                  <w:tcW w:w="8457" w:type="dxa"/>
                                  <w:tcBorders/>
                                  <w:vAlign w:val="bottom"/>
                                </w:tcPr>
                                <w:p>
                                  <w:pPr>
                                    <w:pStyle w:val="Contenudecadre"/>
                                    <w:widowControl w:val="false"/>
                                    <w:tabs>
                                      <w:tab w:val="clear" w:pos="6804"/>
                                    </w:tabs>
                                    <w:spacing w:before="0" w:after="0"/>
                                    <w:jc w:val="left"/>
                                    <w:rPr>
                                      <w:rFonts w:ascii="Helv" w:hAnsi="Helv"/>
                                      <w:i/>
                                      <w:i/>
                                      <w:iCs/>
                                      <w:sz w:val="22"/>
                                      <w:szCs w:val="22"/>
                                    </w:rPr>
                                  </w:pPr>
                                  <w:r>
                                    <w:rPr>
                                      <w:rFonts w:ascii="Helv" w:hAnsi="Helv"/>
                                      <w:i/>
                                      <w:iCs/>
                                      <w:sz w:val="22"/>
                                      <w:szCs w:val="22"/>
                                    </w:rPr>
                                    <w:t>A                     , le</w:t>
                                  </w:r>
                                </w:p>
                              </w:tc>
                              <w:tc>
                                <w:tcPr>
                                  <w:tcW w:w="9026" w:type="dxa"/>
                                  <w:tcBorders/>
                                </w:tcPr>
                                <w:p>
                                  <w:pPr>
                                    <w:pStyle w:val="Contenudecadre"/>
                                    <w:widowControl w:val="false"/>
                                    <w:spacing w:before="40" w:after="40"/>
                                    <w:rPr/>
                                  </w:pPr>
                                  <w:r>
                                    <w:rPr/>
                                  </w:r>
                                </w:p>
                              </w:tc>
                            </w:tr>
                          </w:tbl>
                          <w:p>
                            <w:pPr>
                              <w:pStyle w:val="Contenudecadre"/>
                              <w:spacing w:before="40" w:after="40"/>
                              <w:rPr>
                                <w:color w:val="000000"/>
                              </w:rPr>
                            </w:pPr>
                            <w:r>
                              <w:rPr/>
                            </w:r>
                          </w:p>
                        </w:txbxContent>
                      </wps:txbx>
                      <wps:bodyPr>
                        <a:noAutofit/>
                      </wps:bodyPr>
                    </wps:wsp>
                  </a:graphicData>
                </a:graphic>
              </wp:anchor>
            </w:drawing>
          </mc:Choice>
          <mc:Fallback>
            <w:pict>
              <v:rect id="shape_0" ID="Text Box 2" fillcolor="white" stroked="f" style="position:absolute;margin-left:533.5pt;margin-top:5.85pt;width:202.65pt;height:63.05pt" wp14:anchorId="588258B2">
                <w10:wrap type="none"/>
                <v:fill o:detectmouseclick="t" type="solid" color2="black"/>
                <v:stroke color="#3465a4" joinstyle="round" endcap="flat"/>
                <v:textbox>
                  <w:txbxContent>
                    <w:tbl>
                      <w:tblPr>
                        <w:tblW w:w="17484" w:type="dxa"/>
                        <w:jc w:val="left"/>
                        <w:tblInd w:w="-214" w:type="dxa"/>
                        <w:tblCellMar>
                          <w:top w:w="0" w:type="dxa"/>
                          <w:left w:w="70" w:type="dxa"/>
                          <w:bottom w:w="0" w:type="dxa"/>
                          <w:right w:w="70" w:type="dxa"/>
                        </w:tblCellMar>
                        <w:tblLook w:firstRow="1" w:noVBand="1" w:lastRow="0" w:firstColumn="1" w:lastColumn="0" w:noHBand="0" w:val="04a0"/>
                      </w:tblPr>
                      <w:tblGrid>
                        <w:gridCol w:w="8457"/>
                        <w:gridCol w:w="9026"/>
                      </w:tblGrid>
                      <w:tr>
                        <w:trPr>
                          <w:trHeight w:val="330" w:hRule="atLeast"/>
                        </w:trPr>
                        <w:tc>
                          <w:tcPr>
                            <w:tcW w:w="8457" w:type="dxa"/>
                            <w:tcBorders/>
                            <w:vAlign w:val="bottom"/>
                          </w:tcPr>
                          <w:p>
                            <w:pPr>
                              <w:pStyle w:val="Contenudecadre"/>
                              <w:widowControl w:val="false"/>
                              <w:tabs>
                                <w:tab w:val="clear" w:pos="6804"/>
                              </w:tabs>
                              <w:spacing w:before="0" w:after="0"/>
                              <w:jc w:val="left"/>
                              <w:rPr>
                                <w:rFonts w:ascii="Helv" w:hAnsi="Helv"/>
                                <w:i/>
                                <w:i/>
                                <w:iCs/>
                                <w:sz w:val="22"/>
                                <w:szCs w:val="22"/>
                              </w:rPr>
                            </w:pPr>
                            <w:r>
                              <w:rPr>
                                <w:rFonts w:ascii="Helv" w:hAnsi="Helv"/>
                                <w:i/>
                                <w:iCs/>
                                <w:sz w:val="22"/>
                                <w:szCs w:val="22"/>
                              </w:rPr>
                              <w:t>Complété quant aux prix,</w:t>
                            </w:r>
                          </w:p>
                        </w:tc>
                        <w:tc>
                          <w:tcPr>
                            <w:tcW w:w="9026" w:type="dxa"/>
                            <w:tcBorders/>
                          </w:tcPr>
                          <w:p>
                            <w:pPr>
                              <w:pStyle w:val="Contenudecadre"/>
                              <w:widowControl w:val="false"/>
                              <w:spacing w:before="40" w:after="40"/>
                              <w:rPr/>
                            </w:pPr>
                            <w:r>
                              <w:rPr/>
                            </w:r>
                          </w:p>
                        </w:tc>
                      </w:tr>
                      <w:tr>
                        <w:trPr>
                          <w:trHeight w:val="315" w:hRule="atLeast"/>
                        </w:trPr>
                        <w:tc>
                          <w:tcPr>
                            <w:tcW w:w="17483" w:type="dxa"/>
                            <w:gridSpan w:val="2"/>
                            <w:tcBorders/>
                            <w:vAlign w:val="bottom"/>
                          </w:tcPr>
                          <w:p>
                            <w:pPr>
                              <w:pStyle w:val="Contenudecadre"/>
                              <w:widowControl w:val="false"/>
                              <w:tabs>
                                <w:tab w:val="clear" w:pos="6804"/>
                              </w:tabs>
                              <w:spacing w:before="0" w:after="0"/>
                              <w:jc w:val="left"/>
                              <w:rPr>
                                <w:rFonts w:ascii="Helv" w:hAnsi="Helv"/>
                                <w:i/>
                                <w:i/>
                                <w:iCs/>
                                <w:sz w:val="22"/>
                                <w:szCs w:val="22"/>
                              </w:rPr>
                            </w:pPr>
                            <w:r>
                              <w:rPr>
                                <w:rFonts w:ascii="Helv" w:hAnsi="Helv"/>
                                <w:i/>
                                <w:iCs/>
                                <w:sz w:val="22"/>
                                <w:szCs w:val="22"/>
                              </w:rPr>
                              <w:t>Par l'Entrepreneur dûment soussigné,</w:t>
                            </w:r>
                          </w:p>
                        </w:tc>
                      </w:tr>
                      <w:tr>
                        <w:trPr>
                          <w:trHeight w:val="315" w:hRule="atLeast"/>
                        </w:trPr>
                        <w:tc>
                          <w:tcPr>
                            <w:tcW w:w="8457" w:type="dxa"/>
                            <w:tcBorders/>
                            <w:vAlign w:val="bottom"/>
                          </w:tcPr>
                          <w:p>
                            <w:pPr>
                              <w:pStyle w:val="Contenudecadre"/>
                              <w:widowControl w:val="false"/>
                              <w:tabs>
                                <w:tab w:val="clear" w:pos="6804"/>
                              </w:tabs>
                              <w:spacing w:before="0" w:after="0"/>
                              <w:jc w:val="left"/>
                              <w:rPr>
                                <w:rFonts w:ascii="Helv" w:hAnsi="Helv"/>
                                <w:i/>
                                <w:i/>
                                <w:iCs/>
                                <w:sz w:val="22"/>
                                <w:szCs w:val="22"/>
                              </w:rPr>
                            </w:pPr>
                            <w:r>
                              <w:rPr>
                                <w:rFonts w:ascii="Helv" w:hAnsi="Helv"/>
                                <w:i/>
                                <w:iCs/>
                                <w:sz w:val="22"/>
                                <w:szCs w:val="22"/>
                              </w:rPr>
                              <w:t>A                     , le</w:t>
                            </w:r>
                          </w:p>
                        </w:tc>
                        <w:tc>
                          <w:tcPr>
                            <w:tcW w:w="9026" w:type="dxa"/>
                            <w:tcBorders/>
                          </w:tcPr>
                          <w:p>
                            <w:pPr>
                              <w:pStyle w:val="Contenudecadre"/>
                              <w:widowControl w:val="false"/>
                              <w:spacing w:before="40" w:after="40"/>
                              <w:rPr/>
                            </w:pPr>
                            <w:r>
                              <w:rPr/>
                            </w:r>
                          </w:p>
                        </w:tc>
                      </w:tr>
                    </w:tbl>
                    <w:p>
                      <w:pPr>
                        <w:pStyle w:val="Contenudecadre"/>
                        <w:spacing w:before="40" w:after="40"/>
                        <w:rPr>
                          <w:color w:val="000000"/>
                        </w:rPr>
                      </w:pPr>
                      <w:r>
                        <w:rPr/>
                      </w:r>
                    </w:p>
                  </w:txbxContent>
                </v:textbox>
              </v:rect>
            </w:pict>
          </mc:Fallback>
        </mc:AlternateContent>
      </w:r>
    </w:p>
    <w:sectPr>
      <w:headerReference w:type="default" r:id="rId9"/>
      <w:footerReference w:type="default" r:id="rId10"/>
      <w:type w:val="nextPage"/>
      <w:pgSz w:orient="landscape" w:w="16838" w:h="11906"/>
      <w:pgMar w:left="851" w:right="851" w:header="284" w:top="851" w:footer="567" w:bottom="851" w:gutter="0"/>
      <w:pgNumType w:fmt="decimal"/>
      <w:formProt w:val="false"/>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Liberation Sans">
    <w:altName w:val="Arial"/>
    <w:charset w:val="01"/>
    <w:family w:val="auto"/>
    <w:pitch w:val="default"/>
  </w:font>
  <w:font w:name="Tahoma">
    <w:charset w:val="01"/>
    <w:family w:val="auto"/>
    <w:pitch w:val="default"/>
  </w:font>
  <w:font w:name="Arial">
    <w:charset w:val="01"/>
    <w:family w:val="auto"/>
    <w:pitch w:val="default"/>
  </w:font>
  <w:font w:name="Liberation Serif">
    <w:altName w:val="Times New Roman"/>
    <w:charset w:val="01"/>
    <w:family w:val="auto"/>
    <w:pitch w:val="default"/>
  </w:font>
  <w:font w:name="Marianne">
    <w:charset w:val="01"/>
    <w:family w:val="auto"/>
    <w:pitch w:val="default"/>
  </w:font>
  <w:font w:name="Arial Narrow">
    <w:charset w:val="01"/>
    <w:family w:val="auto"/>
    <w:pitch w:val="default"/>
  </w:font>
  <w:font w:name="Cambria Math">
    <w:charset w:val="01"/>
    <w:family w:val="auto"/>
    <w:pitch w:val="default"/>
  </w:font>
  <w:font w:name="Helv">
    <w:altName w:val="Arial"/>
    <w:charset w:val="01"/>
    <w:family w:val="auto"/>
    <w:pitch w:val="default"/>
  </w:font>
  <w:font w:name="Courier New">
    <w:charset w:val="01"/>
    <w:family w:val="modern"/>
    <w:pitch w:val="fixed"/>
  </w:font>
  <w:font w:name="Wingdings">
    <w:charset w:val="02"/>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Lines/>
      <w:widowControl/>
      <w:tabs>
        <w:tab w:val="center" w:pos="4927" w:leader="none"/>
        <w:tab w:val="right" w:pos="6804" w:leader="dot"/>
        <w:tab w:val="right" w:pos="9179" w:leader="none"/>
      </w:tabs>
      <w:suppressAutoHyphens w:val="true"/>
      <w:bidi w:val="0"/>
      <w:spacing w:before="40" w:after="40"/>
      <w:ind w:left="0" w:right="113" w:hanging="0"/>
      <w:jc w:val="center"/>
      <w:rPr>
        <w:color w:val="000000"/>
        <w:sz w:val="16"/>
        <w:szCs w:val="16"/>
      </w:rPr>
    </w:pPr>
    <w:r>
      <w:rPr>
        <w:color w:val="000000"/>
        <w:sz w:val="16"/>
        <w:szCs w:val="16"/>
      </w:rPr>
      <w:t>DEAL974-SEB-2025-03 : Travaux d’arasement du radier de Beauvallon et de suppression de canaux bichiques – Rivière des Roches – BPU</w:t>
      <w:tab/>
      <w:tab/>
    </w:r>
    <w:r>
      <w:rPr>
        <w:color w:val="000000"/>
        <w:sz w:val="16"/>
        <w:szCs w:val="16"/>
      </w:rPr>
      <w:fldChar w:fldCharType="begin"/>
    </w:r>
    <w:r>
      <w:rPr>
        <w:sz w:val="16"/>
        <w:szCs w:val="16"/>
        <w:color w:val="000000"/>
      </w:rPr>
      <w:instrText> PAGE </w:instrText>
    </w:r>
    <w:r>
      <w:rPr>
        <w:sz w:val="16"/>
        <w:szCs w:val="16"/>
        <w:color w:val="000000"/>
      </w:rPr>
      <w:fldChar w:fldCharType="separate"/>
    </w:r>
    <w:r>
      <w:rPr>
        <w:sz w:val="16"/>
        <w:szCs w:val="16"/>
        <w:color w:val="000000"/>
      </w:rPr>
      <w:t>1</w:t>
    </w:r>
    <w:r>
      <w:rPr>
        <w:sz w:val="16"/>
        <w:szCs w:val="16"/>
        <w:color w:val="000000"/>
      </w:rPr>
      <w:fldChar w:fldCharType="end"/>
    </w:r>
    <w:r>
      <w:rPr>
        <w:b/>
        <w:bCs/>
        <w:color w:val="000000"/>
        <w:sz w:val="16"/>
        <w:szCs w:val="16"/>
      </w:rPr>
      <w:t xml:space="preserve"> / </w:t>
    </w:r>
    <w:r>
      <w:rPr>
        <w:b/>
        <w:bCs/>
        <w:color w:val="000000"/>
        <w:sz w:val="16"/>
        <w:szCs w:val="16"/>
      </w:rPr>
      <w:fldChar w:fldCharType="begin"/>
    </w:r>
    <w:r>
      <w:rPr>
        <w:sz w:val="16"/>
        <w:b/>
        <w:szCs w:val="16"/>
        <w:bCs/>
        <w:color w:val="000000"/>
      </w:rPr>
      <w:instrText> NUMPAGES </w:instrText>
    </w:r>
    <w:r>
      <w:rPr>
        <w:sz w:val="16"/>
        <w:b/>
        <w:szCs w:val="16"/>
        <w:bCs/>
        <w:color w:val="000000"/>
      </w:rPr>
      <w:fldChar w:fldCharType="separate"/>
    </w:r>
    <w:r>
      <w:rPr>
        <w:sz w:val="16"/>
        <w:b/>
        <w:szCs w:val="16"/>
        <w:bCs/>
        <w:color w:val="000000"/>
      </w:rPr>
      <w:t>14</w:t>
    </w:r>
    <w:r>
      <w:rPr>
        <w:sz w:val="16"/>
        <w:b/>
        <w:szCs w:val="16"/>
        <w:bCs/>
        <w:color w:val="000000"/>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Lines/>
      <w:tabs>
        <w:tab w:val="center" w:pos="4927" w:leader="none"/>
        <w:tab w:val="right" w:pos="6804" w:leader="dot"/>
        <w:tab w:val="right" w:pos="9179" w:leader="none"/>
      </w:tabs>
      <w:spacing w:before="40" w:after="40"/>
      <w:ind w:left="117" w:right="111" w:hanging="0"/>
      <w:jc w:val="center"/>
      <w:rPr>
        <w:color w:val="000000"/>
        <w:sz w:val="16"/>
        <w:szCs w:val="16"/>
      </w:rPr>
    </w:pPr>
    <w:r>
      <w:rPr>
        <w:color w:val="000000"/>
        <w:sz w:val="16"/>
        <w:szCs w:val="16"/>
      </w:rPr>
      <w:t>DEAL974-SEB-2025-03 : Travaux d’arasement du radier de Beauvallon et de suppression de canaux bichiques – Rivière des Roches – BPU</w:t>
      <w:tab/>
      <w:tab/>
      <w:tab/>
      <w:tab/>
    </w:r>
    <w:r>
      <w:rPr>
        <w:b/>
        <w:bCs/>
        <w:color w:val="000000"/>
        <w:sz w:val="16"/>
        <w:szCs w:val="16"/>
      </w:rPr>
      <w:fldChar w:fldCharType="begin"/>
    </w:r>
    <w:r>
      <w:rPr>
        <w:sz w:val="16"/>
        <w:b/>
        <w:szCs w:val="16"/>
        <w:bCs/>
        <w:color w:val="000000"/>
      </w:rPr>
      <w:instrText> PAGE </w:instrText>
    </w:r>
    <w:r>
      <w:rPr>
        <w:sz w:val="16"/>
        <w:b/>
        <w:szCs w:val="16"/>
        <w:bCs/>
        <w:color w:val="000000"/>
      </w:rPr>
      <w:fldChar w:fldCharType="separate"/>
    </w:r>
    <w:r>
      <w:rPr>
        <w:sz w:val="16"/>
        <w:b/>
        <w:szCs w:val="16"/>
        <w:bCs/>
        <w:color w:val="000000"/>
      </w:rPr>
      <w:t>11</w:t>
    </w:r>
    <w:r>
      <w:rPr>
        <w:sz w:val="16"/>
        <w:b/>
        <w:szCs w:val="16"/>
        <w:bCs/>
        <w:color w:val="000000"/>
      </w:rPr>
      <w:fldChar w:fldCharType="end"/>
    </w:r>
    <w:r>
      <w:rPr>
        <w:b/>
        <w:bCs/>
        <w:color w:val="000000"/>
        <w:sz w:val="16"/>
        <w:szCs w:val="16"/>
      </w:rPr>
      <w:t xml:space="preserve"> / </w:t>
    </w:r>
    <w:r>
      <w:rPr>
        <w:b/>
        <w:bCs/>
        <w:color w:val="000000"/>
        <w:sz w:val="16"/>
        <w:szCs w:val="16"/>
      </w:rPr>
      <w:fldChar w:fldCharType="begin"/>
    </w:r>
    <w:r>
      <w:rPr>
        <w:sz w:val="16"/>
        <w:b/>
        <w:szCs w:val="16"/>
        <w:bCs/>
        <w:color w:val="000000"/>
      </w:rPr>
      <w:instrText> NUMPAGES </w:instrText>
    </w:r>
    <w:r>
      <w:rPr>
        <w:sz w:val="16"/>
        <w:b/>
        <w:szCs w:val="16"/>
        <w:bCs/>
        <w:color w:val="000000"/>
      </w:rPr>
      <w:fldChar w:fldCharType="separate"/>
    </w:r>
    <w:r>
      <w:rPr>
        <w:sz w:val="16"/>
        <w:b/>
        <w:szCs w:val="16"/>
        <w:bCs/>
        <w:color w:val="000000"/>
      </w:rPr>
      <w:t>14</w:t>
    </w:r>
    <w:r>
      <w:rPr>
        <w:sz w:val="16"/>
        <w:b/>
        <w:szCs w:val="16"/>
        <w:bCs/>
        <w:color w:val="00000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Lines/>
      <w:tabs>
        <w:tab w:val="center" w:pos="4927" w:leader="none"/>
        <w:tab w:val="right" w:pos="6804" w:leader="dot"/>
        <w:tab w:val="right" w:pos="9179" w:leader="none"/>
      </w:tabs>
      <w:spacing w:before="40" w:after="40"/>
      <w:ind w:left="117" w:right="111" w:hanging="0"/>
      <w:jc w:val="center"/>
      <w:rPr>
        <w:color w:val="000000"/>
        <w:sz w:val="16"/>
        <w:szCs w:val="16"/>
      </w:rPr>
    </w:pPr>
    <w:r>
      <w:rPr>
        <w:color w:val="000000"/>
        <w:sz w:val="16"/>
        <w:szCs w:val="16"/>
      </w:rPr>
      <w:t xml:space="preserve">DEAL974-SEB-2025-03 : Travaux d’arasement du radier de Beauvallon et de suppression de canaux bichiques – Rivière des Roches – BPU                       </w:t>
      <w:tab/>
    </w:r>
    <w:r>
      <w:rPr>
        <w:b/>
        <w:bCs/>
        <w:color w:val="000000"/>
        <w:sz w:val="16"/>
        <w:szCs w:val="16"/>
      </w:rPr>
      <w:fldChar w:fldCharType="begin"/>
    </w:r>
    <w:r>
      <w:rPr>
        <w:sz w:val="16"/>
        <w:b/>
        <w:szCs w:val="16"/>
        <w:bCs/>
        <w:color w:val="000000"/>
      </w:rPr>
      <w:instrText> PAGE </w:instrText>
    </w:r>
    <w:r>
      <w:rPr>
        <w:sz w:val="16"/>
        <w:b/>
        <w:szCs w:val="16"/>
        <w:bCs/>
        <w:color w:val="000000"/>
      </w:rPr>
      <w:fldChar w:fldCharType="separate"/>
    </w:r>
    <w:r>
      <w:rPr>
        <w:sz w:val="16"/>
        <w:b/>
        <w:szCs w:val="16"/>
        <w:bCs/>
        <w:color w:val="000000"/>
      </w:rPr>
      <w:t>12</w:t>
    </w:r>
    <w:r>
      <w:rPr>
        <w:sz w:val="16"/>
        <w:b/>
        <w:szCs w:val="16"/>
        <w:bCs/>
        <w:color w:val="000000"/>
      </w:rPr>
      <w:fldChar w:fldCharType="end"/>
    </w:r>
    <w:r>
      <w:rPr>
        <w:b/>
        <w:bCs/>
        <w:color w:val="000000"/>
        <w:sz w:val="16"/>
        <w:szCs w:val="16"/>
      </w:rPr>
      <w:t xml:space="preserve"> / </w:t>
    </w:r>
    <w:r>
      <w:rPr>
        <w:b/>
        <w:bCs/>
        <w:color w:val="000000"/>
        <w:sz w:val="16"/>
        <w:szCs w:val="16"/>
      </w:rPr>
      <w:fldChar w:fldCharType="begin"/>
    </w:r>
    <w:r>
      <w:rPr>
        <w:sz w:val="16"/>
        <w:b/>
        <w:szCs w:val="16"/>
        <w:bCs/>
        <w:color w:val="000000"/>
      </w:rPr>
      <w:instrText> NUMPAGES </w:instrText>
    </w:r>
    <w:r>
      <w:rPr>
        <w:sz w:val="16"/>
        <w:b/>
        <w:szCs w:val="16"/>
        <w:bCs/>
        <w:color w:val="000000"/>
      </w:rPr>
      <w:fldChar w:fldCharType="separate"/>
    </w:r>
    <w:r>
      <w:rPr>
        <w:sz w:val="16"/>
        <w:b/>
        <w:szCs w:val="16"/>
        <w:bCs/>
        <w:color w:val="000000"/>
      </w:rPr>
      <w:t>14</w:t>
    </w:r>
    <w:r>
      <w:rPr>
        <w:sz w:val="16"/>
        <w:b/>
        <w:szCs w:val="16"/>
        <w:bCs/>
        <w:color w:val="000000"/>
      </w:rPr>
      <w:fldChar w:fldCharType="end"/>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keepLines/>
      <w:tabs>
        <w:tab w:val="center" w:pos="4927" w:leader="none"/>
        <w:tab w:val="right" w:pos="6804" w:leader="dot"/>
        <w:tab w:val="right" w:pos="9179" w:leader="none"/>
      </w:tabs>
      <w:spacing w:before="40" w:after="40"/>
      <w:ind w:left="117" w:right="111" w:hanging="0"/>
      <w:jc w:val="center"/>
      <w:rPr>
        <w:color w:val="000000"/>
        <w:sz w:val="16"/>
        <w:szCs w:val="16"/>
      </w:rPr>
    </w:pPr>
    <w:r>
      <w:rPr>
        <w:color w:val="000000"/>
        <w:sz w:val="16"/>
        <w:szCs w:val="16"/>
      </w:rPr>
      <w:t>DEAL974-SEB-2025-03 : Travaux d’arasement du radier de Beauvallon et de suppression de canaux bichiques – Rivière des Roches – BPU</w:t>
      <w:tab/>
      <w:tab/>
      <w:tab/>
      <w:tab/>
    </w:r>
    <w:r>
      <w:rPr>
        <w:b/>
        <w:bCs/>
        <w:color w:val="000000"/>
        <w:sz w:val="16"/>
        <w:szCs w:val="16"/>
      </w:rPr>
      <w:fldChar w:fldCharType="begin"/>
    </w:r>
    <w:r>
      <w:rPr>
        <w:sz w:val="16"/>
        <w:b/>
        <w:szCs w:val="16"/>
        <w:bCs/>
        <w:color w:val="000000"/>
      </w:rPr>
      <w:instrText> PAGE </w:instrText>
    </w:r>
    <w:r>
      <w:rPr>
        <w:sz w:val="16"/>
        <w:b/>
        <w:szCs w:val="16"/>
        <w:bCs/>
        <w:color w:val="000000"/>
      </w:rPr>
      <w:fldChar w:fldCharType="separate"/>
    </w:r>
    <w:r>
      <w:rPr>
        <w:sz w:val="16"/>
        <w:b/>
        <w:szCs w:val="16"/>
        <w:bCs/>
        <w:color w:val="000000"/>
      </w:rPr>
      <w:t>14</w:t>
    </w:r>
    <w:r>
      <w:rPr>
        <w:sz w:val="16"/>
        <w:b/>
        <w:szCs w:val="16"/>
        <w:bCs/>
        <w:color w:val="000000"/>
      </w:rPr>
      <w:fldChar w:fldCharType="end"/>
    </w:r>
    <w:r>
      <w:rPr>
        <w:b/>
        <w:bCs/>
        <w:color w:val="000000"/>
        <w:sz w:val="16"/>
        <w:szCs w:val="16"/>
      </w:rPr>
      <w:t xml:space="preserve"> / </w:t>
    </w:r>
    <w:r>
      <w:rPr>
        <w:b/>
        <w:bCs/>
        <w:color w:val="000000"/>
        <w:sz w:val="16"/>
        <w:szCs w:val="16"/>
      </w:rPr>
      <w:fldChar w:fldCharType="begin"/>
    </w:r>
    <w:r>
      <w:rPr>
        <w:sz w:val="16"/>
        <w:b/>
        <w:szCs w:val="16"/>
        <w:bCs/>
        <w:color w:val="000000"/>
      </w:rPr>
      <w:instrText> NUMPAGES </w:instrText>
    </w:r>
    <w:r>
      <w:rPr>
        <w:sz w:val="16"/>
        <w:b/>
        <w:szCs w:val="16"/>
        <w:bCs/>
        <w:color w:val="000000"/>
      </w:rPr>
      <w:fldChar w:fldCharType="separate"/>
    </w:r>
    <w:r>
      <w:rPr>
        <w:sz w:val="16"/>
        <w:b/>
        <w:szCs w:val="16"/>
        <w:bCs/>
        <w:color w:val="000000"/>
      </w:rPr>
      <w:t>14</w:t>
    </w:r>
    <w:r>
      <w:rPr>
        <w:sz w:val="16"/>
        <w:b/>
        <w:szCs w:val="16"/>
        <w:bCs/>
        <w:color w:val="000000"/>
      </w:rPr>
      <w:fldChar w:fldCharType="end"/>
    </w:r>
    <w:r>
      <w:rPr/>
      <w:t xml:space="preserve"> </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Entte"/>
      <w:spacing w:before="40" w:after="40"/>
      <w:ind w:left="-284" w:hanging="0"/>
      <w:rPr>
        <w:sz w:val="4"/>
      </w:rPr>
    </w:pPr>
    <w:r>
      <w:rPr>
        <w:sz w:val="4"/>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widowControl/>
      <w:suppressAutoHyphens w:val="true"/>
      <w:bidi w:val="0"/>
      <w:spacing w:before="40" w:after="40"/>
      <w:jc w:val="both"/>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spacing w:lineRule="auto" w:line="240"/>
      <w:jc w:val="right"/>
      <w:rPr>
        <w:rFonts w:eastAsia="Times New Roman" w:cs="Times New Roman"/>
        <w:b/>
        <w:b/>
        <w:bCs/>
        <w:i/>
        <w:i/>
        <w:iCs/>
        <w:sz w:val="14"/>
        <w:szCs w:val="14"/>
      </w:rPr>
    </w:pPr>
    <w:r>
      <w:rPr>
        <w:rFonts w:eastAsia="Times New Roman" w:cs="Times New Roman"/>
        <w:i/>
        <w:iCs/>
        <w:sz w:val="14"/>
        <w:szCs w:val="14"/>
      </w:rPr>
      <w:t xml:space="preserve">Travaux d’arasement du radier de Beauvallon et de suppression de canaux bichiques – Rivière des Roches : </w:t>
    </w:r>
    <w:r>
      <w:rPr>
        <w:rFonts w:eastAsia="Times New Roman" w:cs="Times New Roman"/>
        <w:b/>
        <w:bCs/>
        <w:i/>
        <w:iCs/>
        <w:sz w:val="14"/>
        <w:szCs w:val="14"/>
      </w:rPr>
      <w:t>BPU</w:t>
    </w:r>
  </w:p>
  <w:p>
    <w:pPr>
      <w:pStyle w:val="Entte"/>
      <w:spacing w:before="40" w:after="40"/>
      <w:ind w:left="-284" w:hanging="0"/>
      <w:rPr>
        <w:sz w:val="4"/>
      </w:rPr>
    </w:pPr>
    <w:r>
      <w:rPr>
        <w:sz w:val="4"/>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andard"/>
      <w:spacing w:lineRule="auto" w:line="240"/>
      <w:jc w:val="right"/>
      <w:rPr>
        <w:rFonts w:eastAsia="Times New Roman" w:cs="Times New Roman"/>
        <w:b/>
        <w:b/>
        <w:bCs/>
        <w:i/>
        <w:i/>
        <w:iCs/>
        <w:sz w:val="14"/>
        <w:szCs w:val="14"/>
      </w:rPr>
    </w:pPr>
    <w:r>
      <w:rPr>
        <w:rFonts w:eastAsia="Times New Roman" w:cs="Times New Roman"/>
        <w:i/>
        <w:iCs/>
        <w:sz w:val="14"/>
        <w:szCs w:val="14"/>
      </w:rPr>
      <w:t xml:space="preserve">Travaux d’arasement du radier de Beauvallon et de suppression de canaux bichiques – Rivière des Roches : </w:t>
    </w:r>
    <w:r>
      <w:rPr>
        <w:rFonts w:eastAsia="Times New Roman" w:cs="Times New Roman"/>
        <w:b/>
        <w:bCs/>
        <w:i/>
        <w:iCs/>
        <w:sz w:val="14"/>
        <w:szCs w:val="14"/>
      </w:rPr>
      <w:t>BPU</w:t>
    </w:r>
  </w:p>
  <w:p>
    <w:pPr>
      <w:pStyle w:val="Entte"/>
      <w:spacing w:before="40" w:after="40"/>
      <w:ind w:left="-284" w:hanging="0"/>
      <w:rPr>
        <w:sz w:val="4"/>
      </w:rPr>
    </w:pPr>
    <w:r>
      <w:rPr>
        <w:sz w:val="4"/>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1500"/>
        </w:tabs>
        <w:ind w:left="142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numFmt w:val="bullet"/>
      <w:lvlText w:val="-"/>
      <w:lvlJc w:val="left"/>
      <w:pPr>
        <w:tabs>
          <w:tab w:val="num" w:pos="0"/>
        </w:tabs>
        <w:ind w:left="720" w:hanging="360"/>
      </w:pPr>
      <w:rPr>
        <w:rFonts w:ascii="Arial Narrow" w:hAnsi="Arial Narrow" w:cs="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10"/>
  <w:revisionView w:insDel="0" w:formatting="0"/>
  <w:defaultTabStop w:val="709"/>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hyphenationZone w:val="425"/>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876502"/>
    <w:pPr>
      <w:widowControl/>
      <w:tabs>
        <w:tab w:val="clear" w:pos="709"/>
        <w:tab w:val="right" w:pos="6804" w:leader="dot"/>
      </w:tabs>
      <w:suppressAutoHyphens w:val="true"/>
      <w:bidi w:val="0"/>
      <w:spacing w:before="40" w:after="40"/>
      <w:jc w:val="both"/>
    </w:pPr>
    <w:rPr>
      <w:rFonts w:ascii="Times New Roman" w:hAnsi="Times New Roman" w:eastAsia="Times New Roman" w:cs="Times New Roman"/>
      <w:color w:val="auto"/>
      <w:kern w:val="0"/>
      <w:sz w:val="20"/>
      <w:szCs w:val="20"/>
      <w:lang w:val="fr-FR" w:eastAsia="fr-FR" w:bidi="ar-SA"/>
    </w:rPr>
  </w:style>
  <w:style w:type="paragraph" w:styleId="Titre1">
    <w:name w:val="Heading 1"/>
    <w:basedOn w:val="Normal"/>
    <w:next w:val="Normal"/>
    <w:qFormat/>
    <w:rsid w:val="00876502"/>
    <w:pPr>
      <w:keepNext w:val="true"/>
      <w:outlineLvl w:val="0"/>
    </w:pPr>
    <w:rPr>
      <w:b/>
      <w:bCs/>
    </w:rPr>
  </w:style>
  <w:style w:type="paragraph" w:styleId="Titre2">
    <w:name w:val="Heading 2"/>
    <w:basedOn w:val="Normal"/>
    <w:next w:val="Normal"/>
    <w:qFormat/>
    <w:rsid w:val="00876502"/>
    <w:pPr>
      <w:jc w:val="center"/>
      <w:outlineLvl w:val="1"/>
    </w:pPr>
    <w:rPr>
      <w:b/>
      <w:bCs/>
    </w:rPr>
  </w:style>
  <w:style w:type="paragraph" w:styleId="Titre3">
    <w:name w:val="Heading 3"/>
    <w:basedOn w:val="Normal"/>
    <w:next w:val="Normal"/>
    <w:qFormat/>
    <w:rsid w:val="00876502"/>
    <w:pPr>
      <w:keepNext w:val="true"/>
      <w:tabs>
        <w:tab w:val="right" w:pos="1062" w:leader="dot"/>
        <w:tab w:val="right" w:pos="6804" w:leader="dot"/>
      </w:tabs>
      <w:ind w:right="-2" w:hanging="0"/>
      <w:jc w:val="center"/>
      <w:outlineLvl w:val="2"/>
    </w:pPr>
    <w:rPr>
      <w:b/>
      <w:bCs/>
    </w:rPr>
  </w:style>
  <w:style w:type="paragraph" w:styleId="Titre4">
    <w:name w:val="Heading 4"/>
    <w:basedOn w:val="Normal"/>
    <w:next w:val="Normal"/>
    <w:qFormat/>
    <w:rsid w:val="00876502"/>
    <w:pPr>
      <w:keepNext w:val="true"/>
      <w:outlineLvl w:val="3"/>
    </w:pPr>
    <w:rPr>
      <w:b/>
      <w:bCs/>
      <w:sz w:val="40"/>
      <w:szCs w:val="40"/>
    </w:rPr>
  </w:style>
  <w:style w:type="paragraph" w:styleId="Titre5">
    <w:name w:val="Heading 5"/>
    <w:basedOn w:val="Normal"/>
    <w:next w:val="Normal"/>
    <w:qFormat/>
    <w:rsid w:val="00876502"/>
    <w:pPr>
      <w:keepNext w:val="true"/>
      <w:jc w:val="center"/>
      <w:outlineLvl w:val="4"/>
    </w:pPr>
    <w:rPr>
      <w:b/>
      <w:bCs/>
      <w:sz w:val="22"/>
      <w:szCs w:val="22"/>
    </w:rPr>
  </w:style>
  <w:style w:type="paragraph" w:styleId="Titre6">
    <w:name w:val="Heading 6"/>
    <w:basedOn w:val="Normal"/>
    <w:next w:val="Normal"/>
    <w:qFormat/>
    <w:rsid w:val="00876502"/>
    <w:pPr>
      <w:keepNext w:val="true"/>
      <w:jc w:val="center"/>
      <w:outlineLvl w:val="5"/>
    </w:pPr>
    <w:rPr>
      <w:sz w:val="28"/>
      <w:szCs w:val="28"/>
    </w:rPr>
  </w:style>
  <w:style w:type="paragraph" w:styleId="Titre7">
    <w:name w:val="Heading 7"/>
    <w:basedOn w:val="Normal"/>
    <w:next w:val="Normal"/>
    <w:qFormat/>
    <w:rsid w:val="00876502"/>
    <w:pPr>
      <w:keepNext w:val="true"/>
      <w:jc w:val="center"/>
      <w:outlineLvl w:val="6"/>
    </w:pPr>
    <w:rPr>
      <w:b/>
      <w:bCs/>
      <w:sz w:val="24"/>
      <w:szCs w:val="24"/>
    </w:rPr>
  </w:style>
  <w:style w:type="paragraph" w:styleId="Titre8">
    <w:name w:val="Heading 8"/>
    <w:basedOn w:val="Normal"/>
    <w:next w:val="Normal"/>
    <w:qFormat/>
    <w:rsid w:val="00876502"/>
    <w:pPr>
      <w:keepNext w:val="true"/>
      <w:jc w:val="center"/>
      <w:outlineLvl w:val="7"/>
    </w:pPr>
    <w:rPr>
      <w:sz w:val="24"/>
      <w:szCs w:val="24"/>
    </w:rPr>
  </w:style>
  <w:style w:type="character" w:styleId="DefaultParagraphFont" w:default="1">
    <w:name w:val="Default Paragraph Font"/>
    <w:uiPriority w:val="1"/>
    <w:semiHidden/>
    <w:unhideWhenUsed/>
    <w:qFormat/>
    <w:rPr/>
  </w:style>
  <w:style w:type="character" w:styleId="Pagenumber">
    <w:name w:val="page number"/>
    <w:basedOn w:val="DefaultParagraphFont"/>
    <w:semiHidden/>
    <w:qFormat/>
    <w:rsid w:val="00876502"/>
    <w:rPr/>
  </w:style>
  <w:style w:type="character" w:styleId="EntteCar" w:customStyle="1">
    <w:name w:val="En-tête Car"/>
    <w:basedOn w:val="DefaultParagraphFont"/>
    <w:qFormat/>
    <w:rsid w:val="00fe6d8b"/>
    <w:rPr/>
  </w:style>
  <w:style w:type="character" w:styleId="PieddepageCar" w:customStyle="1">
    <w:name w:val="Pied de page Car"/>
    <w:uiPriority w:val="99"/>
    <w:qFormat/>
    <w:rsid w:val="00435216"/>
    <w:rPr/>
  </w:style>
  <w:style w:type="character" w:styleId="Annotationreference">
    <w:name w:val="annotation reference"/>
    <w:basedOn w:val="DefaultParagraphFont"/>
    <w:uiPriority w:val="99"/>
    <w:semiHidden/>
    <w:unhideWhenUsed/>
    <w:qFormat/>
    <w:rsid w:val="001f2fd9"/>
    <w:rPr>
      <w:sz w:val="16"/>
      <w:szCs w:val="16"/>
    </w:rPr>
  </w:style>
  <w:style w:type="character" w:styleId="CommentaireCar" w:customStyle="1">
    <w:name w:val="Commentaire Car"/>
    <w:basedOn w:val="DefaultParagraphFont"/>
    <w:link w:val="Annotationtext"/>
    <w:uiPriority w:val="99"/>
    <w:semiHidden/>
    <w:qFormat/>
    <w:rsid w:val="001f2fd9"/>
    <w:rPr/>
  </w:style>
  <w:style w:type="character" w:styleId="ObjetducommentaireCar" w:customStyle="1">
    <w:name w:val="Objet du commentaire Car"/>
    <w:basedOn w:val="CommentaireCar"/>
    <w:link w:val="Annotationsubject"/>
    <w:uiPriority w:val="99"/>
    <w:semiHidden/>
    <w:qFormat/>
    <w:rsid w:val="001f2fd9"/>
    <w:rPr>
      <w:b/>
      <w:bCs/>
    </w:rPr>
  </w:style>
  <w:style w:type="paragraph" w:styleId="Titre">
    <w:name w:val="Titre"/>
    <w:basedOn w:val="Normal"/>
    <w:next w:val="Corpsdetexte"/>
    <w:qFormat/>
    <w:pPr>
      <w:keepNext w:val="true"/>
      <w:spacing w:before="240" w:after="120"/>
    </w:pPr>
    <w:rPr>
      <w:rFonts w:ascii="Liberation Sans" w:hAnsi="Liberation Sans" w:eastAsia="Microsoft YaHei" w:cs="Arial"/>
      <w:sz w:val="28"/>
      <w:szCs w:val="28"/>
    </w:rPr>
  </w:style>
  <w:style w:type="paragraph" w:styleId="Corpsdetexte">
    <w:name w:val="Body Text"/>
    <w:basedOn w:val="Normal"/>
    <w:semiHidden/>
    <w:rsid w:val="00876502"/>
    <w:pPr>
      <w:tabs>
        <w:tab w:val="clear" w:pos="6804"/>
        <w:tab w:val="right" w:pos="6805" w:leader="dot"/>
      </w:tabs>
    </w:pPr>
    <w:rPr>
      <w:b/>
      <w:bCs/>
    </w:rPr>
  </w:style>
  <w:style w:type="paragraph" w:styleId="Liste">
    <w:name w:val="List"/>
    <w:basedOn w:val="Corpsdetexte"/>
    <w:pPr/>
    <w:rPr>
      <w:rFonts w:cs="Lucida Sans"/>
    </w:rPr>
  </w:style>
  <w:style w:type="paragraph" w:styleId="Lgende">
    <w:name w:val="Caption"/>
    <w:basedOn w:val="Normal"/>
    <w:qFormat/>
    <w:pPr>
      <w:suppressLineNumbers/>
      <w:spacing w:before="120" w:after="120"/>
    </w:pPr>
    <w:rPr>
      <w:rFonts w:cs="Arial"/>
      <w:i/>
      <w:iCs/>
      <w:sz w:val="24"/>
      <w:szCs w:val="24"/>
    </w:rPr>
  </w:style>
  <w:style w:type="paragraph" w:styleId="Index" w:customStyle="1">
    <w:name w:val="Index"/>
    <w:basedOn w:val="Normal"/>
    <w:qFormat/>
    <w:pPr>
      <w:suppressLineNumbers/>
    </w:pPr>
    <w:rPr>
      <w:rFonts w:cs="Lucida Sans"/>
    </w:rPr>
  </w:style>
  <w:style w:type="paragraph" w:styleId="Titreprincipal">
    <w:name w:val="Title"/>
    <w:basedOn w:val="Normal"/>
    <w:next w:val="Corpsdetexte"/>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Entteetpieddepage" w:customStyle="1">
    <w:name w:val="En-tête et pied de page"/>
    <w:basedOn w:val="Normal"/>
    <w:qFormat/>
    <w:pPr/>
    <w:rPr/>
  </w:style>
  <w:style w:type="paragraph" w:styleId="Entte">
    <w:name w:val="Header"/>
    <w:basedOn w:val="Normal"/>
    <w:link w:val="EntteCar"/>
    <w:rsid w:val="00876502"/>
    <w:pPr>
      <w:tabs>
        <w:tab w:val="center" w:pos="4536" w:leader="none"/>
        <w:tab w:val="right" w:pos="6804" w:leader="dot"/>
        <w:tab w:val="right" w:pos="9072" w:leader="none"/>
      </w:tabs>
    </w:pPr>
    <w:rPr/>
  </w:style>
  <w:style w:type="paragraph" w:styleId="Pieddepage">
    <w:name w:val="Footer"/>
    <w:basedOn w:val="Normal"/>
    <w:link w:val="PieddepageCar"/>
    <w:uiPriority w:val="99"/>
    <w:rsid w:val="00876502"/>
    <w:pPr>
      <w:tabs>
        <w:tab w:val="center" w:pos="4536" w:leader="none"/>
        <w:tab w:val="right" w:pos="6804" w:leader="dot"/>
        <w:tab w:val="right" w:pos="9072" w:leader="none"/>
      </w:tabs>
    </w:pPr>
    <w:rPr/>
  </w:style>
  <w:style w:type="paragraph" w:styleId="BodyText2">
    <w:name w:val="Body Text 2"/>
    <w:basedOn w:val="Normal"/>
    <w:semiHidden/>
    <w:qFormat/>
    <w:rsid w:val="00876502"/>
    <w:pPr>
      <w:tabs>
        <w:tab w:val="clear" w:pos="6804"/>
        <w:tab w:val="right" w:pos="6805" w:leader="dot"/>
      </w:tabs>
      <w:jc w:val="left"/>
    </w:pPr>
    <w:rPr/>
  </w:style>
  <w:style w:type="paragraph" w:styleId="BodyText3">
    <w:name w:val="Body Text 3"/>
    <w:basedOn w:val="Normal"/>
    <w:semiHidden/>
    <w:qFormat/>
    <w:rsid w:val="00876502"/>
    <w:pPr/>
    <w:rPr>
      <w:color w:val="00FF00"/>
    </w:rPr>
  </w:style>
  <w:style w:type="paragraph" w:styleId="Puce1" w:customStyle="1">
    <w:name w:val="Puce1"/>
    <w:basedOn w:val="Normal"/>
    <w:qFormat/>
    <w:rsid w:val="00876502"/>
    <w:pPr>
      <w:tabs>
        <w:tab w:val="clear" w:pos="6804"/>
        <w:tab w:val="right" w:pos="284" w:leader="none"/>
      </w:tabs>
      <w:spacing w:before="0" w:after="0"/>
    </w:pPr>
    <w:rPr/>
  </w:style>
  <w:style w:type="paragraph" w:styleId="Retraitdecorpsdetexte">
    <w:name w:val="Body Text Indent"/>
    <w:basedOn w:val="Normal"/>
    <w:semiHidden/>
    <w:rsid w:val="00876502"/>
    <w:pPr>
      <w:tabs>
        <w:tab w:val="clear" w:pos="6804"/>
        <w:tab w:val="right" w:pos="6805" w:leader="dot"/>
      </w:tabs>
      <w:ind w:left="214" w:hanging="214"/>
    </w:pPr>
    <w:rPr/>
  </w:style>
  <w:style w:type="paragraph" w:styleId="BalloonText">
    <w:name w:val="Balloon Text"/>
    <w:basedOn w:val="Normal"/>
    <w:semiHidden/>
    <w:qFormat/>
    <w:rsid w:val="00876502"/>
    <w:pPr/>
    <w:rPr>
      <w:rFonts w:ascii="Tahoma" w:hAnsi="Tahoma" w:cs="Tahoma"/>
      <w:sz w:val="16"/>
      <w:szCs w:val="16"/>
    </w:rPr>
  </w:style>
  <w:style w:type="paragraph" w:styleId="Puce2" w:customStyle="1">
    <w:name w:val="puce 2"/>
    <w:basedOn w:val="Puce1"/>
    <w:qFormat/>
    <w:rsid w:val="00876502"/>
    <w:pPr>
      <w:tabs>
        <w:tab w:val="left" w:pos="284" w:leader="none"/>
      </w:tabs>
      <w:ind w:left="568" w:hanging="0"/>
    </w:pPr>
    <w:rPr/>
  </w:style>
  <w:style w:type="paragraph" w:styleId="Prixnom" w:customStyle="1">
    <w:name w:val="Prix nom"/>
    <w:basedOn w:val="Normal"/>
    <w:qFormat/>
    <w:rsid w:val="0032437d"/>
    <w:pPr>
      <w:tabs>
        <w:tab w:val="clear" w:pos="6804"/>
      </w:tabs>
      <w:overflowPunct w:val="false"/>
      <w:spacing w:before="0" w:after="0"/>
      <w:textAlignment w:val="baseline"/>
    </w:pPr>
    <w:rPr>
      <w:b/>
      <w:sz w:val="24"/>
      <w:u w:val="single"/>
    </w:rPr>
  </w:style>
  <w:style w:type="paragraph" w:styleId="Ps" w:customStyle="1">
    <w:name w:val="ps"/>
    <w:basedOn w:val="Normal"/>
    <w:qFormat/>
    <w:rsid w:val="0032437d"/>
    <w:pPr>
      <w:keepLines/>
      <w:tabs>
        <w:tab w:val="clear" w:pos="6804"/>
      </w:tabs>
      <w:spacing w:before="240" w:after="0"/>
    </w:pPr>
    <w:rPr>
      <w:sz w:val="24"/>
    </w:rPr>
  </w:style>
  <w:style w:type="paragraph" w:styleId="ListParagraph">
    <w:name w:val="List Paragraph"/>
    <w:basedOn w:val="Normal"/>
    <w:uiPriority w:val="34"/>
    <w:qFormat/>
    <w:rsid w:val="00702cf6"/>
    <w:pPr>
      <w:spacing w:before="40" w:after="40"/>
      <w:ind w:left="720" w:hanging="0"/>
      <w:contextualSpacing/>
    </w:pPr>
    <w:rPr/>
  </w:style>
  <w:style w:type="paragraph" w:styleId="RedTitre" w:customStyle="1">
    <w:name w:val="RedTitre"/>
    <w:basedOn w:val="Normal"/>
    <w:uiPriority w:val="99"/>
    <w:qFormat/>
    <w:rsid w:val="00435216"/>
    <w:pPr>
      <w:widowControl w:val="false"/>
      <w:tabs>
        <w:tab w:val="clear" w:pos="6804"/>
      </w:tabs>
      <w:spacing w:before="0" w:after="0"/>
      <w:jc w:val="center"/>
    </w:pPr>
    <w:rPr>
      <w:rFonts w:ascii="Arial" w:hAnsi="Arial" w:cs="Arial"/>
      <w:b/>
      <w:bCs/>
      <w:sz w:val="22"/>
      <w:szCs w:val="22"/>
    </w:rPr>
  </w:style>
  <w:style w:type="paragraph" w:styleId="RedNomDoc" w:customStyle="1">
    <w:name w:val="RedNomDoc"/>
    <w:basedOn w:val="Normal"/>
    <w:uiPriority w:val="99"/>
    <w:qFormat/>
    <w:rsid w:val="00435216"/>
    <w:pPr>
      <w:widowControl w:val="false"/>
      <w:tabs>
        <w:tab w:val="clear" w:pos="6804"/>
      </w:tabs>
      <w:spacing w:before="0" w:after="0"/>
      <w:jc w:val="center"/>
    </w:pPr>
    <w:rPr>
      <w:rFonts w:ascii="Arial" w:hAnsi="Arial" w:cs="Arial"/>
      <w:b/>
      <w:bCs/>
      <w:sz w:val="30"/>
      <w:szCs w:val="30"/>
    </w:rPr>
  </w:style>
  <w:style w:type="paragraph" w:styleId="RedTitre1" w:customStyle="1">
    <w:name w:val="RedTitre1"/>
    <w:basedOn w:val="Normal"/>
    <w:uiPriority w:val="99"/>
    <w:qFormat/>
    <w:rsid w:val="00435216"/>
    <w:pPr>
      <w:widowControl w:val="false"/>
      <w:tabs>
        <w:tab w:val="clear" w:pos="6804"/>
      </w:tabs>
      <w:spacing w:before="0" w:after="0"/>
      <w:jc w:val="center"/>
    </w:pPr>
    <w:rPr>
      <w:rFonts w:ascii="Arial" w:hAnsi="Arial" w:cs="Arial"/>
      <w:b/>
      <w:bCs/>
      <w:sz w:val="22"/>
      <w:szCs w:val="22"/>
    </w:rPr>
  </w:style>
  <w:style w:type="paragraph" w:styleId="Annotationtext">
    <w:name w:val="annotation text"/>
    <w:basedOn w:val="Normal"/>
    <w:link w:val="CommentaireCar"/>
    <w:uiPriority w:val="99"/>
    <w:semiHidden/>
    <w:unhideWhenUsed/>
    <w:qFormat/>
    <w:rsid w:val="001f2fd9"/>
    <w:pPr/>
    <w:rPr/>
  </w:style>
  <w:style w:type="paragraph" w:styleId="Annotationsubject">
    <w:name w:val="annotation subject"/>
    <w:basedOn w:val="Annotationtext"/>
    <w:next w:val="Annotationtext"/>
    <w:link w:val="ObjetducommentaireCar"/>
    <w:uiPriority w:val="99"/>
    <w:semiHidden/>
    <w:unhideWhenUsed/>
    <w:qFormat/>
    <w:rsid w:val="001f2fd9"/>
    <w:pPr/>
    <w:rPr>
      <w:b/>
      <w:bCs/>
    </w:rPr>
  </w:style>
  <w:style w:type="paragraph" w:styleId="Revision">
    <w:name w:val="Revision"/>
    <w:uiPriority w:val="99"/>
    <w:semiHidden/>
    <w:qFormat/>
    <w:rsid w:val="00f47768"/>
    <w:pPr>
      <w:widowControl/>
      <w:suppressAutoHyphens w:val="true"/>
      <w:bidi w:val="0"/>
      <w:spacing w:before="0" w:after="0"/>
      <w:jc w:val="left"/>
    </w:pPr>
    <w:rPr>
      <w:rFonts w:ascii="Times New Roman" w:hAnsi="Times New Roman" w:eastAsia="Times New Roman" w:cs="Times New Roman"/>
      <w:color w:val="auto"/>
      <w:kern w:val="0"/>
      <w:sz w:val="20"/>
      <w:szCs w:val="20"/>
      <w:lang w:val="fr-FR" w:eastAsia="fr-FR" w:bidi="ar-SA"/>
    </w:rPr>
  </w:style>
  <w:style w:type="paragraph" w:styleId="Contenudecadre" w:customStyle="1">
    <w:name w:val="Contenu de cadre"/>
    <w:basedOn w:val="Normal"/>
    <w:qFormat/>
    <w:pPr/>
    <w:rPr/>
  </w:style>
  <w:style w:type="paragraph" w:styleId="Standard" w:customStyle="1">
    <w:name w:val="Standard"/>
    <w:qFormat/>
    <w:rsid w:val="001e6d94"/>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fr-FR" w:eastAsia="zh-CN" w:bidi="hi-IN"/>
    </w:rPr>
  </w:style>
  <w:style w:type="paragraph" w:styleId="Contenudetableau" w:customStyle="1">
    <w:name w:val="Contenu de tableau"/>
    <w:basedOn w:val="Standard"/>
    <w:qFormat/>
    <w:rsid w:val="001e6d94"/>
    <w:pPr>
      <w:suppressLineNumbers/>
      <w:spacing w:before="0" w:after="113"/>
    </w:pPr>
    <w:rPr>
      <w:rFonts w:ascii="Marianne" w:hAnsi="Marianne" w:eastAsia="Calibri" w:cs="Arial"/>
      <w:kern w:val="2"/>
      <w:sz w:val="22"/>
      <w:szCs w:val="20"/>
    </w:rPr>
  </w:style>
  <w:style w:type="paragraph" w:styleId="Trame">
    <w:name w:val="Trame"/>
    <w:basedOn w:val="Normal"/>
    <w:qFormat/>
    <w:pPr>
      <w:shd w:val="clear" w:fill="CCCCCC"/>
      <w:jc w:val="center"/>
    </w:pPr>
    <w:rPr>
      <w:b/>
      <w:sz w:val="40"/>
    </w:rPr>
  </w:style>
  <w:style w:type="paragraph" w:styleId="Cadrerelief">
    <w:name w:val="Cadre_relief"/>
    <w:basedOn w:val="Normal"/>
    <w:qFormat/>
    <w:pPr>
      <w:pBdr>
        <w:top w:val="double" w:sz="2" w:space="14" w:color="000000" w:shadow="1"/>
        <w:left w:val="double" w:sz="2" w:space="14" w:color="000000" w:shadow="1"/>
        <w:bottom w:val="double" w:sz="2" w:space="14" w:color="000000" w:shadow="1"/>
        <w:right w:val="double" w:sz="2" w:space="14" w:color="000000" w:shadow="1"/>
      </w:pBdr>
      <w:ind w:left="284" w:right="283" w:hanging="0"/>
    </w:pPr>
    <w:rPr/>
  </w:style>
  <w:style w:type="paragraph" w:styleId="Reponse">
    <w:name w:val="Reponse"/>
    <w:basedOn w:val="Normal"/>
    <w:qFormat/>
    <w:pPr>
      <w:ind w:left="567" w:right="567" w:hanging="0"/>
    </w:pPr>
    <w:rPr>
      <w:color w:val="auto"/>
    </w:rPr>
  </w:style>
  <w:style w:type="paragraph" w:styleId="Corpsdetexte3">
    <w:name w:val="Corps de texte 3"/>
    <w:basedOn w:val="Normal"/>
    <w:qFormat/>
    <w:pPr>
      <w:tabs>
        <w:tab w:val="clear" w:pos="6804"/>
        <w:tab w:val="left" w:pos="720" w:leader="none"/>
        <w:tab w:val="left" w:pos="9639" w:leader="dot"/>
      </w:tabs>
      <w:jc w:val="both"/>
    </w:pPr>
    <w:rPr>
      <w:rFonts w:ascii="Arial" w:hAnsi="Arial" w:cs="Arial"/>
    </w:rPr>
  </w:style>
  <w:style w:type="numbering" w:styleId="NoList" w:default="1">
    <w:name w:val="No List"/>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header" Target="header2.xml"/><Relationship Id="rId6" Type="http://schemas.openxmlformats.org/officeDocument/2006/relationships/footer" Target="footer2.xml"/><Relationship Id="rId7" Type="http://schemas.openxmlformats.org/officeDocument/2006/relationships/header" Target="header3.xml"/><Relationship Id="rId8" Type="http://schemas.openxmlformats.org/officeDocument/2006/relationships/footer" Target="footer3.xml"/><Relationship Id="rId9" Type="http://schemas.openxmlformats.org/officeDocument/2006/relationships/header" Target="header4.xml"/><Relationship Id="rId10" Type="http://schemas.openxmlformats.org/officeDocument/2006/relationships/footer" Target="footer4.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Relationship Id="rId15" Type="http://schemas.openxmlformats.org/officeDocument/2006/relationships/customXml" Target="../customXml/item1.xml"/>
</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70D883-6189-47BD-ADDD-0D5BF23872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Application>LibreOffice/6.4.7.2$Windows_X86_64 LibreOffice_project/639b8ac485750d5696d7590a72ef1b496725cfb5</Application>
  <Pages>6</Pages>
  <Words>4300</Words>
  <Characters>22834</Characters>
  <CharactersWithSpaces>26744</CharactersWithSpaces>
  <Paragraphs>350</Paragraphs>
  <Company>sogreah</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2025-10-08T11:42:00Z</dcterms:created>
  <dc:creator/>
  <dc:description/>
  <dc:language>fr-FR</dc:language>
  <cp:lastModifiedBy/>
  <cp:revision>1</cp:revision>
  <dc:subject/>
  <dc:title>POSTE 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sogreah</vt:lpwstr>
  </property>
</Properties>
</file>